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ROM.2.c (Core) — The leader is responsible for and complies with the laid-down and applicable legislations, regulations and notifications.</w:t>
      </w:r>
    </w:p>
    <w:p>
      <w:r>
        <w:t>ROM.2 Record 2 — Administrative head applicable-legislation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written list of which legislations, regulations and notifications actually apply to this hospital's services, kept current, with the administrative head's responsibility for each one on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register lists the Clinical Establishments Act registration, Biomedical Waste Management Rules, the Pre-Conception and Pre-Natal Diagnostic Techniques Act (this hospital runs an imaging service), each with its renewal or review date and the administrative head named as responsible.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law list copied from another hospital, or one nobody updates when a service changes, tells the administrative head they are compliant with laws that may no longer be the ones that actually govern what this hospital does.</w:t>
            </w:r>
          </w:p>
        </w:tc>
      </w:tr>
    </w:tbl>
    <w:p/>
    <w:p>
      <w:r>
        <w:t>How to fill this in — column by column</w:t>
      </w:r>
    </w:p>
    <w:p>
      <w:r>
        <w:t>Legislation / Regulation / Notification: Name and year.</w:t>
      </w:r>
    </w:p>
    <w:p>
      <w:r>
        <w:t>Why It Applies: Which of this hospital's actual services triggers it.</w:t>
      </w:r>
    </w:p>
    <w:p>
      <w:r>
        <w:t>Owning Document (If Any): Where the detailed compliance process already lives, e.g. HIC.3.</w:t>
      </w:r>
    </w:p>
    <w:p>
      <w:r>
        <w:t>Renewal / Review Date: When this entry is next checked.</w:t>
      </w:r>
    </w:p>
    <w:p>
      <w:r>
        <w:t>Reviewed By / Date: Administrative head sign-off.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Legislation / Regulation / Notification</w:t>
            </w:r>
          </w:p>
        </w:tc>
        <w:tc>
          <w:tcPr>
            <w:tcW w:type="dxa" w:w="1728"/>
          </w:tcPr>
          <w:p>
            <w:r>
              <w:t>Why It Applies</w:t>
            </w:r>
          </w:p>
        </w:tc>
        <w:tc>
          <w:tcPr>
            <w:tcW w:type="dxa" w:w="1728"/>
          </w:tcPr>
          <w:p>
            <w:r>
              <w:t>Owning Document (If Any)</w:t>
            </w:r>
          </w:p>
        </w:tc>
        <w:tc>
          <w:tcPr>
            <w:tcW w:type="dxa" w:w="1728"/>
          </w:tcPr>
          <w:p>
            <w:r>
              <w:t>Renewal / Review Date</w:t>
            </w:r>
          </w:p>
        </w:tc>
        <w:tc>
          <w:tcPr>
            <w:tcW w:type="dxa" w:w="1728"/>
          </w:tcPr>
          <w:p>
            <w:r>
              <w:t>Reviewed By /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Biomedical Waste Management Rules, 2016</w:t>
            </w:r>
          </w:p>
        </w:tc>
        <w:tc>
          <w:tcPr>
            <w:tcW w:type="dxa" w:w="1728"/>
            <w:shd w:val="clear" w:color="auto" w:fill="FFF2CC"/>
          </w:tcPr>
          <w:p>
            <w:r>
              <w:t>Hospital generates biomedical waste from clinical services</w:t>
            </w:r>
          </w:p>
        </w:tc>
        <w:tc>
          <w:tcPr>
            <w:tcW w:type="dxa" w:w="1728"/>
            <w:shd w:val="clear" w:color="auto" w:fill="FFF2CC"/>
          </w:tcPr>
          <w:p>
            <w:r>
              <w:t>HIC.3 Support-Services Infection-Control Policy</w:t>
            </w:r>
          </w:p>
        </w:tc>
        <w:tc>
          <w:tcPr>
            <w:tcW w:type="dxa" w:w="1728"/>
            <w:shd w:val="clear" w:color="auto" w:fill="FFF2CC"/>
          </w:tcPr>
          <w:p>
            <w:r>
              <w:t>Annual authorisation renewal — 15-Apr-2026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A. Rao, Administrator / 10-Jan-2026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