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standards, including what happens when the same standard keeps failing. If you're new to this SOP: a standard only counts once it has a named indicator, a target, a data source and a monitoring frequency, and a standard missed three cycles running goes to the governing body, not a fourth routine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Referenced as an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2"/>
      </w:pPr>
      <w:r>
        <w:t>4.4 Escalate a standard missed repeatedly</w:t>
      </w:r>
    </w:p>
    <w:p>
      <w:r>
        <w:rPr>
          <w:b/>
        </w:rPr>
        <w:t xml:space="preserve">Why this step matters: </w:t>
      </w:r>
      <w:r>
        <w:t>A standard that fails quarter after quarter, with a fresh root-cause analysis each time that never actually fixes it, isn't a monitoring problem any more — it's a structural one that routine CAPA at department level isn't equipped to solve.</w:t>
      </w:r>
    </w:p>
    <w:p>
      <w:r>
        <w:t>1. A service standard missed for three consecutive monitoring cycles is escalated by the Quality Coordinator to the Medical Superintendent and the governing body for structural review, rather than a fourth routine CAPA.</w:t>
      </w:r>
    </w:p>
    <w:p>
      <w:r>
        <w:t>2. The governing body's review considers whether the target itself, the resourcing behind it, or the process it measures needs to change. (Record 3)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