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HRM.6.a — Personal files are maintained with respect to all staff, and their confidentiality is ensured.</w:t>
      </w:r>
    </w:p>
    <w:p>
      <w:r>
        <w:t>HRM.6 Record 01 — Personal file master register and access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Personnel File No.: The staff member and their unique file number.</w:t>
      </w:r>
    </w:p>
    <w:p>
      <w:pPr>
        <w:pStyle w:val="ListParagraph"/>
      </w:pPr>
      <w:r>
        <w:t>Employment Type: Permanent, contract, locum or part-time.</w:t>
      </w:r>
    </w:p>
    <w:p>
      <w:pPr>
        <w:pStyle w:val="ListParagraph"/>
      </w:pPr>
      <w:r>
        <w:t>File Opened (Date): When the file was created, at joining.</w:t>
      </w:r>
    </w:p>
    <w:p>
      <w:pPr>
        <w:pStyle w:val="ListParagraph"/>
      </w:pPr>
      <w:r>
        <w:t>Access Log Entry (Who / When / Reason): Each time the file was opened by someone other than the staff member.</w:t>
      </w:r>
    </w:p>
    <w:p>
      <w:pPr>
        <w:pStyle w:val="ListParagraph"/>
      </w:pPr>
      <w:r>
        <w:t>Quarterly Audit Confirmed (Y/N, Date): Whether this file was confirmed present in the quarterly payroll-match audit.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HRM.6.</w:t>
      </w:r>
    </w:p>
    <w:p>
      <w:pPr>
        <w:pStyle w:val="ListParagraph"/>
      </w:pPr>
      <w:r>
        <w:t xml:space="preserve">Government of India. (2023). </w:t>
      </w:r>
      <w:hyperlink r:id="rId10">
        <w:r>
          <w:rPr>
            <w:color w:val="0563C1"/>
            <w:u w:val="single"/>
          </w:rPr>
          <w:t>The Digital Personal Data Protection Act, 2023 (Act No. 22 of 2023)</w:t>
        </w:r>
      </w:hyperlink>
      <w:r>
        <w:t>. Section 8(5) requires a Data Fiduciary to protect personal data in its possession or under its control through reasonable security safeguards; Section 7(i) permits processing personal data for employment purposes. Referenced here as the statutory basis for securing and controlling access to staff personal files, alongside the NABH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master list proving every staff member has a personal file, together with the log of who has opened each file and why — the evidence confidentiality is actually controlled, not just promised.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maintains this register continuously and audits it quarterly against payroll. The worked example shows a file accessed once, for a stated governance reason, and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personal file that anyone can open with no record of who did it or why is not actually confidential, whatever the policy says — this record is what makes confidentiality enforceable rather than aspirational.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 / Personnel File No.</w:t>
            </w:r>
          </w:p>
        </w:tc>
        <w:tc>
          <w:tcPr>
            <w:tcW w:type="dxa" w:w="1728"/>
          </w:tcPr>
          <w:p>
            <w:r>
              <w:t>Employment Type</w:t>
            </w:r>
          </w:p>
        </w:tc>
        <w:tc>
          <w:tcPr>
            <w:tcW w:type="dxa" w:w="1728"/>
          </w:tcPr>
          <w:p>
            <w:r>
              <w:t>File Opened (Date)</w:t>
            </w:r>
          </w:p>
        </w:tc>
        <w:tc>
          <w:tcPr>
            <w:tcW w:type="dxa" w:w="1728"/>
          </w:tcPr>
          <w:p>
            <w:r>
              <w:t>Access Log Entry (Who / When / Reason)</w:t>
            </w:r>
          </w:p>
        </w:tc>
        <w:tc>
          <w:tcPr>
            <w:tcW w:type="dxa" w:w="1728"/>
          </w:tcPr>
          <w:p>
            <w:r>
              <w:t>Quarterly Audit Confirmed (Y/N, 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Hemant Joshi, Security Supervisor</w:t>
            </w:r>
          </w:p>
        </w:tc>
        <w:tc>
          <w:tcPr>
            <w:tcW w:type="dxa" w:w="1728"/>
            <w:shd w:val="clear" w:color="auto" w:fill="FFF2CC"/>
          </w:tcPr>
          <w:p>
            <w:r>
              <w:t>Permanent, File No. PF-2024-067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12-May-2024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Superintendent, 10-Mar-2026, credentialing cross-check for a promotion decision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confirmed 31-Mar-2026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22037/2/a2023-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