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Registration, Admission and Transfer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It covers six elements: registration and admission mechanism, unique identification, acceptance criteria, bed-management when beds are unavailable, clinical prioritisation, and transfer-in / transfer-out / referral.</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the patient or family gives informed consent for the transfer, taken in line with the hospital's informed-consent policy.</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Root-cause analysis is required when the same registration or transfer defect recurs; the organisation's defined recurrence threshold applies, as documented in the hospital's Root Cause Analysis procedure.</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AAC.2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«AAC/POL/02»  |  Controlled document  |  Policy on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