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Ram &amp; Sons Hospital</w:t>
      </w:r>
    </w:p>
    <w:p>
      <w:pPr>
        <w:spacing w:after="60"/>
        <w:jc w:val="center"/>
      </w:pPr>
      <w:r>
        <w:rPr>
          <w:b/>
          <w:bCs/>
          <w:sz w:val="28"/>
          <w:szCs w:val="28"/>
        </w:rPr>
        <w:t xml:space="preserve">Medical Gases, Vacuum and Compressed Air</w:t>
      </w:r>
    </w:p>
    <w:p>
      <w:pPr>
        <w:spacing w:after="240"/>
        <w:jc w:val="center"/>
      </w:pPr>
      <w:r>
        <w:rPr>
          <w:i/>
          <w:iCs/>
          <w:sz w:val="20"/>
          <w:szCs w:val="20"/>
        </w:rPr>
        <w:t xml:space="preserve">How this hospital buys, stores, uses and backs up medical gases.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Ram &amp; Sons Hospital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Ram &amp; Sons Hospital.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 xml:space="preserve">The Petroleum and Explosives Safety Organisation (PESO), Gas Cylinder Rules or the Explosives Act appear on the applicable-legislation register if they apply to this occupancy. They are not numbered FMS chapter references.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Ram &amp; Sons Hospital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Ram &amp; Sons Hospital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Ram &amp; Sons Hospital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Ram &amp; Sons Hospital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Ram &amp; Sons Hospital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Ram &amp; Sons Hospital.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FMS.4 (this policy is written so those requirements are met in day-to-day work; it is not a commentary on the standard).</w:t>
      </w:r>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11. Distribution</w:t>
      </w:r>
    </w:p>
    <w:p>
      <w:pPr>
        <w:spacing w:after="140"/>
      </w:pPr>
      <w:r>
        <w:rPr>
          <w:sz w:val="22"/>
          <w:szCs w:val="22"/>
        </w:rPr>
        <w:t xml:space="preserve">Official master copy: office of the Medical Superintendent, Ram &amp; Sons Hospital,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MGPS — medical gas pipeline system
HTM — Health Technical Memorandum (UK Department of Health medical-gas pipeline guidance; guide only)
DISS — Diameter Index Safety System
NIST — Non-Interchangeable Screw Thread
ISO — International Organization for Standardization
NFPA — National Fire Protection Association
BCGA — British Compressed Gases Association
PESO — Petroleum and Explosives Safety Organisation (applicable-legislation register if it applies; not a paragraph-2 statute of this document)
SOP — standard operating procedure
CAPA — corrective and preventive action
RCA — root-cause analysis
RACI — Responsible, Accountable, Consulted, Informed</w:t>
      </w:r>
    </w:p>
    <w:p>
      <w:pPr>
        <w:pStyle w:val="Heading1"/>
        <w:spacing w:after="120" w:before="280"/>
      </w:pPr>
      <w:r>
        <w:t xml:space="preserve">13.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 xml:space="preserve">Disclaimer</w:t>
      </w:r>
    </w:p>
    <w:p>
      <w:pPr>
        <w:spacing w:after="140"/>
      </w:pPr>
      <w:r>
        <w:rPr>
          <w:sz w:val="22"/>
          <w:szCs w:val="22"/>
        </w:rPr>
        <w:t xml:space="preserve">This document is a template prepared for the guidance of Ram &amp; Sons Hospital and must be reviewed, adapted and formally approved by Ram &amp; Sons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Ram &amp; Sons Hospital remain those documents. Ram &amp; Sons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Ram &amp; Sons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Ram &amp; Sons Hospital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2026-08-19T05:52:03.969Z</dcterms:created>
  <dcterms:modified xsi:type="dcterms:W3CDTF">2026-08-19T05:52:03.969Z</dcterms:modified>
</cp:coreProperties>
</file>

<file path=docProps/custom.xml><?xml version="1.0" encoding="utf-8"?>
<Properties xmlns="http://schemas.openxmlformats.org/officeDocument/2006/custom-properties" xmlns:vt="http://schemas.openxmlformats.org/officeDocument/2006/docPropsVTypes"/>
</file>