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ROM.2.d (Achievement) — The performance of the organisation's leader is reviewed for effectiveness.</w:t>
      </w:r>
    </w:p>
    <w:p>
      <w:r>
        <w:t>ROM.2 Record 3 — Administrative head performance review record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the governing body actually held a formal performance review of the administrative head, against defined criteria, with a signed outcome -- not an informal conversation nobody wrote down.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At the annual review, the governing body assesses the Administrator against the year's operational-plan targets, service-standard performance and statutory-compliance record, finds two targets missed, agrees a corrective step with a follow-up date, and signs the outcome.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An administrative head whose performance is never formally reviewed has, in practice, unaccountable day-to-day authority over the hospital -- this record is what makes that review checkable instead of assumed to have happened.</w:t>
            </w:r>
          </w:p>
        </w:tc>
      </w:tr>
    </w:tbl>
    <w:p/>
    <w:p>
      <w:r>
        <w:t>How to fill this in — column by column</w:t>
      </w:r>
    </w:p>
    <w:p>
      <w:r>
        <w:t>Review Period: The cycle being assessed, e.g. calendar or financial year.</w:t>
      </w:r>
    </w:p>
    <w:p>
      <w:r>
        <w:t>Criteria Assessed: What the governing body measured the head against.</w:t>
      </w:r>
    </w:p>
    <w:p>
      <w:r>
        <w:t>Outcome: Met / Partially Met / Not Met, in the governing body's own words.</w:t>
      </w:r>
    </w:p>
    <w:p>
      <w:r>
        <w:t>Corrective Step Agreed (If Any): What changes, and by when.</w:t>
      </w:r>
    </w:p>
    <w:p>
      <w:r>
        <w:t>Governing Body Sign-Off / Date: Who conducted the review and signed it.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Responsibilities of Management chapter, standard ROM.2.</w:t>
      </w:r>
    </w:p>
    <w:p>
      <w:pPr>
        <w:pStyle w:val="ListParagraph"/>
      </w:pPr>
      <w:r>
        <w:t xml:space="preserve">• </w:t>
      </w:r>
      <w:r>
        <w:t xml:space="preserve">International Organization for Standardization. (2026). </w:t>
      </w:r>
      <w:hyperlink r:id="rId10">
        <w:r>
          <w:rPr>
            <w:color w:val="0563C1"/>
            <w:u w:val="single"/>
          </w:rPr>
          <w:t>ISO 9001:2026, Quality management systems — Requirements</w:t>
        </w:r>
      </w:hyperlink>
      <w:r>
        <w:t>, clause 5.3.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Review Period</w:t>
            </w:r>
          </w:p>
        </w:tc>
        <w:tc>
          <w:tcPr>
            <w:tcW w:type="dxa" w:w="1728"/>
          </w:tcPr>
          <w:p>
            <w:r>
              <w:t>Criteria Assessed</w:t>
            </w:r>
          </w:p>
        </w:tc>
        <w:tc>
          <w:tcPr>
            <w:tcW w:type="dxa" w:w="1728"/>
          </w:tcPr>
          <w:p>
            <w:r>
              <w:t>Outcome</w:t>
            </w:r>
          </w:p>
        </w:tc>
        <w:tc>
          <w:tcPr>
            <w:tcW w:type="dxa" w:w="1728"/>
          </w:tcPr>
          <w:p>
            <w:r>
              <w:t>Corrective Step Agreed (If Any)</w:t>
            </w:r>
          </w:p>
        </w:tc>
        <w:tc>
          <w:tcPr>
            <w:tcW w:type="dxa" w:w="1728"/>
          </w:tcPr>
          <w:p>
            <w:r>
              <w:t>Governing Body Sign-Off / Date</w:t>
            </w:r>
          </w:p>
        </w:tc>
      </w:tr>
      <w:t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c>
          <w:tcPr>
            <w:tcW w:type="dxa" w:w="1728"/>
            <w:shd w:val="clear" w:color="auto" w:fill="FFF2CC"/>
          </w:tcPr>
          <w:p>
            <w:r>
              <w:t>WORKED EXAMPLE — Calendar Year 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Operational-plan targets, service standards, statutory compliance</w:t>
            </w:r>
          </w:p>
        </w:tc>
        <w:tc>
          <w:tcPr>
            <w:tcW w:type="dxa" w:w="1728"/>
            <w:shd w:val="clear" w:color="auto" w:fill="FFF2CC"/>
          </w:tcPr>
          <w:p>
            <w:r>
              <w:t>Partially Met — 2 of 10 targets missed</w:t>
            </w:r>
          </w:p>
        </w:tc>
        <w:tc>
          <w:tcPr>
            <w:tcW w:type="dxa" w:w="1728"/>
            <w:shd w:val="clear" w:color="auto" w:fill="FFF2CC"/>
          </w:tcPr>
          <w:p>
            <w:r>
              <w:t>Monthly interim review of the 2 missed targets; Chairperson / next review 15-Jan-2027</w:t>
            </w:r>
          </w:p>
        </w:tc>
        <w:tc>
          <w:tcPr>
            <w:tcW w:type="dxa" w:w="1728"/>
            <w:shd w:val="clear" w:color="auto" w:fill="FFF2CC"/>
          </w:tcPr>
          <w:p>
            <w:r>
              <w:t>Chairperson, Governing Body / 10-Jan-2027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Relationship Id="rId10" Type="http://schemas.openxmlformats.org/officeDocument/2006/relationships/hyperlink" Target="https://www.iso.org/standard/88464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