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HRM.8.d — The requisite services to be provided by the nursing staff are known to them as well as the various departments/units of the organisation.</w:t>
      </w:r>
    </w:p>
    <w:p>
      <w:r>
        <w:t>HRM.8 Record 04 — Unit service briefing and nurse list reconciliation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 / Ward or Unit: Who was briefed, and for which unit.</w:t>
      </w:r>
    </w:p>
    <w:p>
      <w:pPr>
        <w:pStyle w:val="ListParagraph"/>
      </w:pPr>
      <w:r>
        <w:t>Briefing Date: When the unit induction briefing happened.</w:t>
      </w:r>
    </w:p>
    <w:p>
      <w:pPr>
        <w:pStyle w:val="ListParagraph"/>
      </w:pPr>
      <w:r>
        <w:t>Topics Covered: Care standards, medication documentation, escalation pathway, handover, infection control.</w:t>
      </w:r>
    </w:p>
    <w:p>
      <w:pPr>
        <w:pStyle w:val="ListParagraph"/>
      </w:pPr>
      <w:r>
        <w:t>Privileges Match Unit Scope (Y/N): Confirmed by the ward in-charge.</w:t>
      </w:r>
    </w:p>
    <w:p>
      <w:pPr>
        <w:pStyle w:val="ListParagraph"/>
      </w:pPr>
      <w:r>
        <w:t>Quarterly Reconciliation With Central Register (Date): When the unit list was last matched against the master register.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every nurse was actually briefed on what their unit expects and that the unit's own nurse list was checked against the central privileging register.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ward in-charge completes this at induction and quarterly thereafter. The worked example shows a maternity ward nurse briefed and reconciled with no gap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privilege letter that never gets connected to what the ward actually tells the nurse to do leaves a real gap between what's on paper and what happens on the floor — this record closes that gap.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 / Ward or Unit</w:t>
            </w:r>
          </w:p>
        </w:tc>
        <w:tc>
          <w:tcPr>
            <w:tcW w:type="dxa" w:w="1728"/>
          </w:tcPr>
          <w:p>
            <w:r>
              <w:t>Briefing Date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Privileges Match Unit Scope (Y/N)</w:t>
            </w:r>
          </w:p>
        </w:tc>
        <w:tc>
          <w:tcPr>
            <w:tcW w:type="dxa" w:w="1728"/>
          </w:tcPr>
          <w:p>
            <w:r>
              <w:t>Quarterly Reconciliation With Central Register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Kavita Singh, Maternity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18-Feb-2026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Maternity care standards, medication documentation, escalation to on-call obstetrician, shift handover format, infection control practices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Reconciled 31-Mar-2026 — no discrepancy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