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MOM.1.a — Written guidance for medication management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MOM.1 Record 1 — Medication Management Manual Coverage Checklist</w:t>
      </w:r>
    </w:p>
    <w:p>
      <w:pPr>
        <w:spacing w:after="150"/>
      </w:pPr>
      <w:r>
        <w:rPr>
          <w:i/>
          <w:iCs/>
          <w:color w:val="555555"/>
        </w:rPr>
        <w:t xml:space="preserve">Confirms the single Medication Management Manual exists, names the qualified supervising person, and covers every patient care area.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160"/>
        <w:gridCol w:w="2400"/>
        <w:gridCol w:w="2400"/>
      </w:tblGrid>
      <w:tr>
        <w:trPr>
          <w:tblHeader/>
        </w:trPr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Care Area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Covered in Manual (Y/N)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Section Reference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Reviewed By</w:t>
            </w:r>
          </w:p>
        </w:tc>
      </w:tr>
      <w:tr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ICU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Section 4.2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Chief Pharmacist</w:t>
            </w:r>
          </w:p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2026-09-20T03:14:00.977Z</dcterms:created>
  <dcterms:modified xsi:type="dcterms:W3CDTF">2026-09-20T03:14:00.978Z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