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MOM.10.b — Lifecycle guidance: procurement, storage, issuing, use (Commitment*)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MOM.10 Record 2 — Implant Lifecycle Guidance Coverage Checklist</w:t>
      </w:r>
    </w:p>
    <w:p>
      <w:pPr>
        <w:spacing w:after="150"/>
      </w:pPr>
      <w:r>
        <w:rPr>
          <w:i/>
          <w:iCs/>
          <w:color w:val="555555"/>
        </w:rPr>
        <w:t xml:space="preserve">Confirms written guidance covers procurement, storage, issuing, and use, including IPC requirements.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gridSpan w:val="1"/>
            <w:shd w:fill="D9E2F3" w:val="clear"/>
          </w:tcPr>
          <w:p>
            <w:r>
              <w:rPr>
                <w:b/>
                <w:bCs/>
              </w:rPr>
              <w:t xml:space="preserve">Lifecycle Stage</w:t>
            </w:r>
          </w:p>
        </w:tc>
        <w:tc>
          <w:tcPr>
            <w:tcW w:type="dxa" w:w="3120"/>
            <w:gridSpan w:val="1"/>
            <w:shd w:fill="D9E2F3" w:val="clear"/>
          </w:tcPr>
          <w:p>
            <w:r>
              <w:rPr>
                <w:b/>
                <w:bCs/>
              </w:rPr>
              <w:t xml:space="preserve">Documented (Y/N)</w:t>
            </w:r>
          </w:p>
        </w:tc>
        <w:tc>
          <w:tcPr>
            <w:tcW w:type="dxa" w:w="3120"/>
            <w:gridSpan w:val="1"/>
            <w:shd w:fill="D9E2F3" w:val="clear"/>
          </w:tcPr>
          <w:p>
            <w:r>
              <w:rPr>
                <w:b/>
                <w:bCs/>
              </w:rPr>
              <w:t xml:space="preserve">IPC Requirements Included (Y/N)</w:t>
            </w:r>
          </w:p>
        </w:tc>
      </w:tr>
      <w:tr>
        <w:tc>
          <w:tcPr>
            <w:tcW w:type="dxa" w:w="312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Storage</w:t>
            </w:r>
          </w:p>
        </w:tc>
        <w:tc>
          <w:tcPr>
            <w:tcW w:type="dxa" w:w="312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</w:t>
            </w:r>
          </w:p>
        </w:tc>
        <w:tc>
          <w:tcPr>
            <w:tcW w:type="dxa" w:w="312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Yes, sterile storage conditions specified</w:t>
            </w:r>
          </w:p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2026-09-20T03:18:01.702Z</dcterms:created>
  <dcterms:modified xsi:type="dcterms:W3CDTF">2026-09-20T03:18:01.702Z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