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sz w:val="32"/>
          <w:szCs w:val="32"/>
        </w:rPr>
        <w:t xml:space="preserve">Standard Operating Procedure</w:t>
      </w:r>
    </w:p>
    <w:p>
      <w:pPr>
        <w:spacing w:after="60"/>
      </w:pPr>
      <w:r>
        <w:rPr>
          <w:b/>
          <w:bCs/>
          <w:color w:val="444444"/>
          <w:sz w:val="26"/>
          <w:szCs w:val="26"/>
        </w:rPr>
        <w:t xml:space="preserve">Implant and Medical Device Management</w:t>
      </w:r>
    </w:p>
    <w:p>
      <w:pPr>
        <w:spacing w:after="250"/>
      </w:pPr>
      <w:r>
        <w:rPr>
          <w:i/>
          <w:iCs/>
          <w:color w:val="666666"/>
        </w:rPr>
        <w:t xml:space="preserve">«Hospital Name» — Supports MOM.10.c, MOM.10.d, MOM.10.e (Achievement)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SOP No.</w:t>
            </w:r>
          </w:p>
        </w:tc>
        <w:tc>
          <w:tcPr>
            <w:tcW w:type="dxa" w:w="2340"/>
            <w:gridSpan w:val="1"/>
          </w:tcPr>
          <w:p>
            <w:r>
              <w:t xml:space="preserve">[Hospital to define]</w:t>
            </w:r>
          </w:p>
        </w:tc>
        <w:tc>
          <w:tcPr>
            <w:tcW w:type="dxa" w:w="23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Version</w:t>
            </w:r>
          </w:p>
        </w:tc>
        <w:tc>
          <w:tcPr>
            <w:tcW w:type="dxa" w:w="2340"/>
            <w:gridSpan w:val="1"/>
          </w:tcPr>
          <w:p>
            <w:r>
              <w:t xml:space="preserve">1.0</w:t>
            </w:r>
          </w:p>
        </w:tc>
      </w:tr>
      <w:tr>
        <w:tc>
          <w:tcPr>
            <w:tcW w:type="dxa" w:w="23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Effective Date</w:t>
            </w:r>
          </w:p>
        </w:tc>
        <w:tc>
          <w:tcPr>
            <w:tcW w:type="dxa" w:w="2340"/>
            <w:gridSpan w:val="1"/>
          </w:tcPr>
          <w:p>
            <w:r>
              <w:t xml:space="preserve">________</w:t>
            </w:r>
          </w:p>
        </w:tc>
        <w:tc>
          <w:tcPr>
            <w:tcW w:type="dxa" w:w="23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Review Frequency</w:t>
            </w:r>
          </w:p>
        </w:tc>
        <w:tc>
          <w:tcPr>
            <w:tcW w:type="dxa" w:w="2340"/>
            <w:gridSpan w:val="1"/>
          </w:tcPr>
          <w:p>
            <w:r>
              <w:t xml:space="preserve">Annual, or on change</w:t>
            </w:r>
          </w:p>
        </w:tc>
      </w:tr>
      <w:tr>
        <w:tc>
          <w:tcPr>
            <w:tcW w:type="dxa" w:w="23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Prepared By</w:t>
            </w:r>
          </w:p>
        </w:tc>
        <w:tc>
          <w:tcPr>
            <w:tcW w:type="dxa" w:w="7020"/>
            <w:gridSpan w:val="3"/>
          </w:tcPr>
          <w:p>
            <w:r>
              <w:t xml:space="preserve">Quality Coordinator   Name: ________   Signature: ________</w:t>
            </w:r>
          </w:p>
        </w:tc>
      </w:tr>
      <w:tr>
        <w:tc>
          <w:tcPr>
            <w:tcW w:type="dxa" w:w="23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Approved By</w:t>
            </w:r>
          </w:p>
        </w:tc>
        <w:tc>
          <w:tcPr>
            <w:tcW w:type="dxa" w:w="7020"/>
            <w:gridSpan w:val="3"/>
          </w:tcPr>
          <w:p>
            <w:r>
              <w:t xml:space="preserve">Medical Superintendent   Name: ________   Signature: ________</w:t>
            </w:r>
          </w:p>
        </w:tc>
      </w:tr>
    </w:tbl>
    <w:p>
      <w:pPr>
        <w:spacing w:after="250"/>
      </w:pPr>
    </w:p>
    <w:p>
      <w:pPr>
        <w:pStyle w:val="Heading1"/>
        <w:spacing w:after="150" w:before="300"/>
      </w:pPr>
      <w:r>
        <w:t xml:space="preserve">1. Purpose</w:t>
      </w:r>
    </w:p>
    <w:p>
      <w:pPr>
        <w:spacing w:after="150"/>
      </w:pPr>
      <w:r>
        <w:t xml:space="preserve">This SOP describes how «Hospital Name» counsels patients, tracks batch/serial numbers, and manages recalls for implants and medical devices.</w:t>
      </w:r>
    </w:p>
    <w:p>
      <w:pPr>
        <w:pStyle w:val="Heading1"/>
        <w:spacing w:after="150" w:before="300"/>
      </w:pPr>
      <w:r>
        <w:t xml:space="preserve">2. Scope</w:t>
      </w:r>
    </w:p>
    <w:p>
      <w:pPr>
        <w:spacing w:after="150"/>
      </w:pPr>
      <w:r>
        <w:t xml:space="preserve">Applies to every implant or medical device used in patient care.</w:t>
      </w:r>
    </w:p>
    <w:p>
      <w:pPr>
        <w:pStyle w:val="Heading1"/>
        <w:spacing w:after="150" w:before="300"/>
      </w:pPr>
      <w:r>
        <w:t xml:space="preserve">3. Responsibility</w:t>
      </w:r>
    </w:p>
    <w:p>
      <w:pPr>
        <w:spacing w:after="100"/>
      </w:pPr>
      <w:r>
        <w:rPr>
          <w:b/>
          <w:bCs/>
        </w:rPr>
        <w:t xml:space="preserve">Treating Doctor / Nurse: </w:t>
      </w:r>
      <w:r>
        <w:t xml:space="preserve">counsels the patient and ensures batch/serial traceability at every required location.</w:t>
      </w:r>
    </w:p>
    <w:p>
      <w:pPr>
        <w:pStyle w:val="Heading1"/>
        <w:spacing w:after="150" w:before="300"/>
      </w:pPr>
      <w:r>
        <w:t xml:space="preserve">4. Procedure</w:t>
      </w:r>
    </w:p>
    <w:p>
      <w:pPr>
        <w:spacing w:after="120"/>
      </w:pPr>
      <w:r>
        <w:rPr>
          <w:b/>
          <w:bCs/>
        </w:rPr>
        <w:t xml:space="preserve">1. </w:t>
      </w:r>
      <w:r>
        <w:t xml:space="preserve">Before the procedure, counsel the patient and family on precautions specific to the implant, and document this within the informed consent.</w:t>
      </w:r>
    </w:p>
    <w:p>
      <w:pPr>
        <w:spacing w:after="120"/>
      </w:pPr>
      <w:r>
        <w:rPr>
          <w:b/>
          <w:bCs/>
        </w:rPr>
        <w:t xml:space="preserve">2. </w:t>
      </w:r>
      <w:r>
        <w:t xml:space="preserve">Confirm the implant/device carries applicable regulatory approval before use.</w:t>
      </w:r>
    </w:p>
    <w:p>
      <w:pPr>
        <w:spacing w:after="120"/>
      </w:pPr>
      <w:r>
        <w:rPr>
          <w:b/>
          <w:bCs/>
        </w:rPr>
        <w:t xml:space="preserve">3. </w:t>
      </w:r>
      <w:r>
        <w:t xml:space="preserve">Record the batch/serial number in all three required locations for every implant: the patient's medical record, the master logbook, and the discharge summary.</w:t>
      </w:r>
    </w:p>
    <w:p>
      <w:pPr>
        <w:spacing w:after="120"/>
      </w:pPr>
      <w:r>
        <w:rPr>
          <w:b/>
          <w:bCs/>
        </w:rPr>
        <w:t xml:space="preserve">4. </w:t>
      </w:r>
      <w:r>
        <w:t xml:space="preserve">Where no pre-labelled sticker exists, transcribe the batch/serial number manually into all three locations and have a second person verify the transcription.</w:t>
      </w:r>
    </w:p>
    <w:p>
      <w:pPr>
        <w:spacing w:after="120"/>
      </w:pPr>
      <w:r>
        <w:rPr>
          <w:b/>
          <w:bCs/>
        </w:rPr>
        <w:t xml:space="preserve">5. </w:t>
      </w:r>
      <w:r>
        <w:t xml:space="preserve">On learning of a recall — whether from internal feedback or an external notice — identify every patient who received that batch, using the master logbook, and notify the regulatory authority and manufacturer for internally identified recalls.</w:t>
      </w:r>
    </w:p>
    <w:p>
      <w:pPr>
        <w:pStyle w:val="Heading1"/>
        <w:spacing w:after="150" w:before="300"/>
      </w:pPr>
      <w:r>
        <w:t xml:space="preserve">5. Records</w:t>
      </w:r>
    </w:p>
    <w:p>
      <w:pPr>
        <w:spacing w:after="150"/>
      </w:pPr>
      <w:r>
        <w:t xml:space="preserve">Supported by Records 3, 4, and 5 of the MOM.10 Required Records pack.</w:t>
      </w:r>
    </w:p>
    <w:p>
      <w:pPr>
        <w:pStyle w:val="Heading1"/>
        <w:spacing w:after="150" w:before="300"/>
      </w:pPr>
      <w:r>
        <w:t xml:space="preserve">6. Related Documents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HCO_MOM_10_v2_REWRITE_DRAFT — MOM.10 policy</w:t>
      </w:r>
    </w:p>
    <w:p>
      <w:pPr>
        <w:pStyle w:val="Heading1"/>
        <w:spacing w:after="150" w:before="300"/>
      </w:pPr>
      <w:r>
        <w:t xml:space="preserve">7. Review</w:t>
      </w:r>
    </w:p>
    <w:p>
      <w:pPr>
        <w:spacing w:after="150"/>
      </w:pPr>
      <w:r>
        <w:t xml:space="preserve">Reviewed annually, and immediately after any implant recall.</w:t>
      </w:r>
    </w:p>
    <w:p>
      <w:pPr>
        <w:pStyle w:val="Heading1"/>
        <w:spacing w:after="150" w:before="300"/>
      </w:pPr>
      <w:r>
        <w:t xml:space="preserve">8. References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Ministry of Health and Family Welfare, Government of India (CDSCO). (2017). Medical Devices Rules, 2017 (G.S.R. 78(E)). </w:t>
      </w:r>
      <w:hyperlink r:id="rId8">
        <w:r>
          <w:rPr>
            <w:color w:val="0563C1"/>
            <w:u w:val="single"/>
          </w:rPr>
          <w:t>https://cdsco.gov.in/opencms/resources/UploadCDSCOWeb/2022/m_device/Medical%20Devices%20Rules,%202017.pdf</w:t>
        </w:r>
      </w:hyperlink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hyperlink" Target="https://cdsco.gov.in/opencms/resources/UploadCDSCOWeb/2022/m_device/Medical%20Devices%20Rules,%202017.pdf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2026-09-20T03:29:23.290Z</dcterms:created>
  <dcterms:modified xsi:type="dcterms:W3CDTF">2026-09-20T03:29:23.291Z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