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MOM.11.c — Storage per manufacturer requirements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MOM.11 Record 3 — Consumables Storage Compliance Checklist</w:t>
      </w:r>
    </w:p>
    <w:p>
      <w:pPr>
        <w:spacing w:after="150"/>
      </w:pPr>
      <w:r>
        <w:rPr>
          <w:i/>
          <w:iCs/>
          <w:color w:val="555555"/>
        </w:rPr>
        <w:t xml:space="preserve">Confirms storage per manufacturer requirements in every storage area including wards, protection from loss/theft, and safe hazardous-material storage.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1920"/>
        <w:gridCol w:w="27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Storage Area (Including Wards)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Manufacturer Conditions Met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Secured (Y/N)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Hazardous Materials Identified &amp; Safely Stored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Ward 4 supply room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separate cabinet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2026-09-20T03:18:20.611Z</dcterms:created>
  <dcterms:modified xsi:type="dcterms:W3CDTF">2026-09-20T03:18:20.611Z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