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MOM.2.e — Medication acquisition procedure (Commitment*)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MOM.2 Record 6 — Medication Acquisition Procedure Coverage Checklist</w:t>
      </w:r>
    </w:p>
    <w:p>
      <w:pPr>
        <w:spacing w:after="150"/>
      </w:pPr>
      <w:r>
        <w:rPr>
          <w:i/>
          <w:iCs/>
          <w:color w:val="555555"/>
        </w:rPr>
        <w:t xml:space="preserve">Confirms the documented acquisition procedure covers all six required elements.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Element</w:t>
            </w:r>
          </w:p>
        </w:tc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Documented (Y/N)</w:t>
            </w:r>
          </w:p>
        </w:tc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Section Reference</w:t>
            </w:r>
          </w:p>
        </w:tc>
      </w:tr>
      <w:tr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Vendor selection criteria</w:t>
            </w:r>
          </w:p>
        </w:tc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Section 5.5.1</w:t>
            </w:r>
          </w:p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2026-09-20T03:14:26.924Z</dcterms:created>
  <dcterms:modified xsi:type="dcterms:W3CDTF">2026-09-20T03:14:26.924Z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