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MOM.3.a — Clean, safe, secure storage (CORE)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1 — Medication Storage Condition Checklist</w:t>
      </w:r>
    </w:p>
    <w:p>
      <w:pPr>
        <w:spacing w:after="150"/>
      </w:pPr>
      <w:r>
        <w:rPr>
          <w:i/>
          <w:iCs/>
          <w:color w:val="555555"/>
        </w:rPr>
        <w:t xml:space="preserve">Confirms storage is clean, safe, and secure per manufacturer requirements in every area including clinical areas.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2760"/>
        <w:gridCol w:w="144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Storage Area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Manufacturer Conditions Met (Y/N)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Secured Against Loss/Theft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Checked By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ICU medication cabinet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locked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In-Charge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2026-09-20T03:14:52.388Z</dcterms:created>
  <dcterms:modified xsi:type="dcterms:W3CDTF">2026-09-20T03:14:52.388Z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