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MOM.3.b — Inventory control practices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MOM.3 Record 3 — Inventory Control Practice Record</w:t>
      </w:r>
    </w:p>
    <w:p>
      <w:pPr>
        <w:spacing w:after="150"/>
      </w:pPr>
      <w:r>
        <w:rPr>
          <w:i/>
          <w:iCs/>
          <w:color w:val="555555"/>
        </w:rPr>
        <w:t xml:space="preserve">Confirms a recognised inventory control practice is used organisation-wide, and non-regular-inventory medications are managed.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760"/>
        <w:gridCol w:w="1800"/>
      </w:tblGrid>
      <w:tr>
        <w:trPr>
          <w:tblHeader/>
        </w:trPr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Area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Inventory Method Used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Non-Regular Medication Mechanism</w:t>
            </w:r>
          </w:p>
        </w:tc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Reviewed By</w:t>
            </w:r>
          </w:p>
        </w:tc>
      </w:tr>
      <w:tr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Main Pharmacy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FEFO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Special-order log</w:t>
            </w:r>
          </w:p>
        </w:tc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Chief Pharmacist</w:t>
            </w:r>
          </w:p>
        </w:tc>
      </w:tr>
      <w:tr>
        <w:tc>
          <w:tcPr>
            <w:tcW w:type="dxa" w:w="2400"/>
          </w:tcPr>
          <w:p/>
        </w:tc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180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2026-09-20T03:14:52.487Z</dcterms:created>
  <dcterms:modified xsi:type="dcterms:W3CDTF">2026-09-20T03:14:52.487Z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