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MOM.3.d — High-risk medication storage safeguards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5 — High-Risk Medication Storage Safeguard Record</w:t>
      </w:r>
    </w:p>
    <w:p>
      <w:pPr>
        <w:spacing w:after="150"/>
      </w:pPr>
      <w:r>
        <w:rPr>
          <w:i/>
          <w:iCs/>
          <w:color w:val="555555"/>
        </w:rPr>
        <w:t xml:space="preserve">Confirms high-risk medications are stored in predetermined, clinically justified locations with safeguards against inadvertent administration.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76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Location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Safeguard Used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Conc. KCl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Locked cabinet, pharmacy only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Auxiliary label + double-lock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In-Charge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2026-09-20T03:14:52.537Z</dcterms:created>
  <dcterms:modified xsi:type="dcterms:W3CDTF">2026-09-20T03:14:52.537Z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