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MOM.4.a — Rational prescribing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1 — Rational Prescribing Training Record</w:t>
      </w:r>
    </w:p>
    <w:p>
      <w:pPr>
        <w:spacing w:after="150"/>
      </w:pPr>
      <w:r>
        <w:rPr>
          <w:i/>
          <w:iCs/>
          <w:color w:val="555555"/>
        </w:rPr>
        <w:t xml:space="preserve">Confirms clinicians are trained on rational prescribing and the Code of Medical Ethics-2002.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1920"/>
        <w:gridCol w:w="288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Clinician Name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Department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Training Date</w:t>
            </w:r>
          </w:p>
        </w:tc>
        <w:tc>
          <w:tcPr>
            <w:tcW w:type="dxa" w:w="28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Topics Covered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A. Kapoor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General Medicine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10-Jan-2026</w:t>
            </w:r>
          </w:p>
        </w:tc>
        <w:tc>
          <w:tcPr>
            <w:tcW w:type="dxa" w:w="28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Rational prescribing, Code of Medical Ethics-2002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8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2026-09-20T03:15:20.635Z</dcterms:created>
  <dcterms:modified xsi:type="dcterms:W3CDTF">2026-09-20T03:15:20.635Z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