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MOM.4.h — Corrective/preventive action from audit (Achievement)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9 — Prescription Audit CAPA Record</w:t>
      </w:r>
    </w:p>
    <w:p>
      <w:pPr>
        <w:spacing w:after="150"/>
      </w:pPr>
      <w:r>
        <w:rPr>
          <w:i/>
          <w:iCs/>
          <w:color w:val="555555"/>
        </w:rPr>
        <w:t xml:space="preserve">Records corrective/preventive action taken based on audit findings.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2280"/>
        <w:gridCol w:w="1680"/>
        <w:gridCol w:w="132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Audit Finding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Root Cause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Corrective Action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Responsible Person</w:t>
            </w:r>
          </w:p>
        </w:tc>
        <w:tc>
          <w:tcPr>
            <w:tcW w:type="dxa" w:w="13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Closure Date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Illegible handwriting, 3 cases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Manual prescriptions in ER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e-prescription rollout in ER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IT + Pharmacy</w:t>
            </w:r>
          </w:p>
        </w:tc>
        <w:tc>
          <w:tcPr>
            <w:tcW w:type="dxa" w:w="13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28-Feb-2026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3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2026-09-20T03:15:20.859Z</dcterms:created>
  <dcterms:modified xsi:type="dcterms:W3CDTF">2026-09-20T03:15:20.859Z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