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MOM.5.b — Uniform order location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MOM.5 Record 2 — Order Location &amp; Transfer Compliance Audit</w:t>
      </w:r>
    </w:p>
    <w:p>
      <w:pPr>
        <w:spacing w:after="150"/>
      </w:pPr>
      <w:r>
        <w:rPr>
          <w:i/>
          <w:iCs/>
          <w:color w:val="555555"/>
        </w:rPr>
        <w:t xml:space="preserve">Confirms orders are written only in the single uniform location with patient name and unique ID, and orders written elsewhere are transferred.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60"/>
        <w:gridCol w:w="2280"/>
        <w:gridCol w:w="216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Order Location Used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Correct Uniform Location (Y/N)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Transferred If Elsewhere (Y/N)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IP-2026-0410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Physician order sheet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N/A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2026-09-20T03:16:00.455Z</dcterms:created>
  <dcterms:modified xsi:type="dcterms:W3CDTF">2026-09-20T03:16:00.455Z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