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MOM.5.c — Capital letters, abbreviations, prescriber traceability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MOM.5 Record 4 — Order Legibility &amp; Abbreviation Compliance Checklist</w:t>
      </w:r>
    </w:p>
    <w:p>
      <w:pPr>
        <w:spacing w:after="150"/>
      </w:pPr>
      <w:r>
        <w:rPr>
          <w:i/>
          <w:iCs/>
          <w:color w:val="555555"/>
        </w:rPr>
        <w:t xml:space="preserve">Confirms capital letters for handwritten orders, use of the approved abbreviation list, no error-prone abbreviations, and prescriber-identity traceability.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760"/>
        <w:gridCol w:w="19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Sample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Capital Letters (Y/N)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Abbreviations Only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Prescriber Identifiable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IP-2026-0410, 05-Feb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Dr. Rao, signed + stamped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7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2026-09-20T03:16:00.498Z</dcterms:created>
  <dcterms:modified xsi:type="dcterms:W3CDTF">2026-09-20T03:16:00.498Z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