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MOM.6.d — Universal labelling (CORE* / Stop-Work)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MOM.6 Record 4 — Universal Labelling Audit — Stop-Work Compliance</w:t>
      </w:r>
    </w:p>
    <w:p>
      <w:pPr>
        <w:spacing w:after="150"/>
      </w:pPr>
      <w:r>
        <w:rPr>
          <w:i/>
          <w:iCs/>
          <w:color w:val="555555"/>
        </w:rPr>
        <w:t xml:space="preserve">Confirms every dispensed medication is labelled — inpatient and outpatient, including reconstituted drugs, cut strips, and bulk containers; supports the Section 6 stop-work trigger.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560"/>
        <w:gridCol w:w="1920"/>
        <w:gridCol w:w="2280"/>
        <w:gridCol w:w="1440"/>
      </w:tblGrid>
      <w:tr>
        <w:trPr>
          <w:tblHeader/>
        </w:trPr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Medication/Container</w:t>
            </w:r>
          </w:p>
        </w:tc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Type (IP/OP)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Drug Name on Label (Y/N)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Strength &amp; Expiry on Label (Y/N)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Checked By</w:t>
            </w:r>
          </w:p>
        </w:tc>
      </w:tr>
      <w:tr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Reconstituted chemo syringe</w:t>
            </w:r>
          </w:p>
        </w:tc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Nurse S. Iyer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4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2026-09-20T03:16:23.223Z</dcterms:created>
  <dcterms:modified xsi:type="dcterms:W3CDTF">2026-09-20T03:16:23.223Z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