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High-Risk Medication Dispensing and Recall Management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MOM.6.b, MOM.6.c, MOM.6.e (CORE, Stop-Work)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dispenses high-risk medications only against a written order, manages near-expiry and beyond-expiry stock, and runs a recall when needed.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to the pharmacy and every clinical area that dispenses medication.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Dispensing Pharmacist: </w:t>
      </w:r>
      <w:r>
        <w:t xml:space="preserve">verifies the written order for high-risk medications and manages recalls and expiry withdrawal.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pStyle w:val="Heading2"/>
        <w:spacing w:after="100" w:before="250"/>
      </w:pPr>
      <w:r>
        <w:t xml:space="preserve">4.1 High-risk medication dispensing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Dispense a high-risk medication only against a written order — never on a verbal request alone.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A second staff member independently verifies the order and the medication before it is dispensed.</w:t>
      </w:r>
    </w:p>
    <w:p>
      <w:pPr>
        <w:pStyle w:val="Heading2"/>
        <w:spacing w:after="100" w:before="250"/>
      </w:pPr>
      <w:r>
        <w:t xml:space="preserve">4.2 Near-expiry and beyond-expiry stock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Apply the hospital's defined 'near expiry' window and withdraw stock reaching it from active dispensing shelves.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Confirm no beyond-expiry medication is ever present in usable clinical stock — check at every stock count, not only when a discrepancy is suspected.</w:t>
      </w:r>
    </w:p>
    <w:p>
      <w:pPr>
        <w:pStyle w:val="Heading2"/>
        <w:spacing w:after="100" w:before="250"/>
      </w:pPr>
      <w:r>
        <w:t xml:space="preserve">4.3 Recall management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On identifying a defective batch — internally or externally — withdraw it from all storage and dispensing points immediately.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Where the recall is internally identified, inform the appropriate regulatory authority.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Record every recall occurrence, including the batch, the trigger, and the withdrawal confirmation.</w:t>
      </w:r>
    </w:p>
    <w:p>
      <w:pPr>
        <w:pStyle w:val="Heading1"/>
        <w:spacing w:after="150" w:before="300"/>
      </w:pPr>
      <w:r>
        <w:t xml:space="preserve">5. Stop-Work Authority</w:t>
      </w:r>
    </w:p>
    <w:p>
      <w:pPr>
        <w:spacing w:after="150"/>
      </w:pPr>
      <w:r>
        <w:t xml:space="preserve">Do not dispense a high-risk medication without a written order and second-staff verification.</w:t>
      </w:r>
    </w:p>
    <w:p>
      <w:pPr>
        <w:spacing w:after="150"/>
      </w:pPr>
      <w:r>
        <w:t xml:space="preserve">Do not allow beyond-expiry medication to remain in usable clinical stock — remove it the moment it is found, regardless of who finds it.</w:t>
      </w:r>
    </w:p>
    <w:p>
      <w:pPr>
        <w:pStyle w:val="Heading1"/>
        <w:spacing w:after="150" w:before="300"/>
      </w:pPr>
      <w:r>
        <w:t xml:space="preserve">6. Records</w:t>
      </w:r>
    </w:p>
    <w:p>
      <w:pPr>
        <w:spacing w:after="150"/>
      </w:pPr>
      <w:r>
        <w:t xml:space="preserve">Supported by Records 2, 3, and 5 of the MOM.6 Required Records pack.</w:t>
      </w:r>
    </w:p>
    <w:p>
      <w:pPr>
        <w:pStyle w:val="Heading1"/>
        <w:spacing w:after="150" w:before="300"/>
      </w:pPr>
      <w:r>
        <w:t xml:space="preserve">7.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HCO_MOM_6_v2_REWRITE_DRAFT — MOM.6 policy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SOP — Universal Medication Labelling (MOM.6.d)</w:t>
      </w:r>
    </w:p>
    <w:p>
      <w:pPr>
        <w:pStyle w:val="Heading1"/>
        <w:spacing w:after="150" w:before="300"/>
      </w:pPr>
      <w:r>
        <w:t xml:space="preserve">8. Review</w:t>
      </w:r>
    </w:p>
    <w:p>
      <w:pPr>
        <w:spacing w:after="150"/>
      </w:pPr>
      <w:r>
        <w:t xml:space="preserve">Reviewed annually, and immediately after any recall or expiry-related near miss.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2026-09-20T03:22:57.851Z</dcterms:created>
  <dcterms:modified xsi:type="dcterms:W3CDTF">2026-09-20T03:22:57.851Z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