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Standard Operating Procedure</w:t>
      </w:r>
    </w:p>
    <w:p>
      <w:pPr>
        <w:spacing w:after="60"/>
      </w:pPr>
      <w:r>
        <w:rPr>
          <w:b/>
          <w:bCs/>
          <w:color w:val="444444"/>
          <w:sz w:val="26"/>
          <w:szCs w:val="26"/>
        </w:rPr>
        <w:t xml:space="preserve">Universal Medication Labelling</w:t>
      </w:r>
    </w:p>
    <w:p>
      <w:pPr>
        <w:spacing w:after="250"/>
      </w:pPr>
      <w:r>
        <w:rPr>
          <w:i/>
          <w:iCs/>
          <w:color w:val="666666"/>
        </w:rPr>
        <w:t xml:space="preserve">«Hospital Name» — Supports MOM.6.d (CORE, Stop-Work)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SOP No.</w:t>
            </w:r>
          </w:p>
        </w:tc>
        <w:tc>
          <w:tcPr>
            <w:tcW w:type="dxa" w:w="2340"/>
            <w:gridSpan w:val="1"/>
          </w:tcPr>
          <w:p>
            <w:r>
              <w:t xml:space="preserve">[Hospital to define]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2340"/>
            <w:gridSpan w:val="1"/>
          </w:tcPr>
          <w:p>
            <w:r>
              <w:t xml:space="preserve">1.0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Effective Date</w:t>
            </w:r>
          </w:p>
        </w:tc>
        <w:tc>
          <w:tcPr>
            <w:tcW w:type="dxa" w:w="2340"/>
            <w:gridSpan w:val="1"/>
          </w:tcPr>
          <w:p>
            <w:r>
              <w:t xml:space="preserve">________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Frequency</w:t>
            </w:r>
          </w:p>
        </w:tc>
        <w:tc>
          <w:tcPr>
            <w:tcW w:type="dxa" w:w="2340"/>
            <w:gridSpan w:val="1"/>
          </w:tcPr>
          <w:p>
            <w:r>
              <w:t xml:space="preserve">Annual, or on change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7020"/>
            <w:gridSpan w:val="3"/>
          </w:tcPr>
          <w:p>
            <w:r>
              <w:t xml:space="preserve">Quality Coordinator   Name: ________   Signature: ________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Approved By</w:t>
            </w:r>
          </w:p>
        </w:tc>
        <w:tc>
          <w:tcPr>
            <w:tcW w:type="dxa" w:w="7020"/>
            <w:gridSpan w:val="3"/>
          </w:tcPr>
          <w:p>
            <w:r>
              <w:t xml:space="preserve">Medical Superintendent   Name: ________   Signature: ________</w:t>
            </w:r>
          </w:p>
        </w:tc>
      </w:tr>
    </w:tbl>
    <w:p>
      <w:pPr>
        <w:spacing w:after="250"/>
      </w:pP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50"/>
      </w:pPr>
      <w:r>
        <w:t xml:space="preserve">This SOP describes how «Hospital Name» labels every dispensed medication — inpatient and outpatient, including reconstituted drugs, cut strips, and bulk containers — so a medication is never administered from an unlabelled source.</w:t>
      </w:r>
    </w:p>
    <w:p>
      <w:pPr>
        <w:pStyle w:val="Heading1"/>
        <w:spacing w:after="150" w:before="300"/>
      </w:pPr>
      <w:r>
        <w:t xml:space="preserve">2. Scope</w:t>
      </w:r>
    </w:p>
    <w:p>
      <w:pPr>
        <w:spacing w:after="150"/>
      </w:pPr>
      <w:r>
        <w:t xml:space="preserve">Applies to every medication dispensed anywhere in the hospital, for every patient type.</w:t>
      </w:r>
    </w:p>
    <w:p>
      <w:pPr>
        <w:pStyle w:val="Heading1"/>
        <w:spacing w:after="150" w:before="300"/>
      </w:pPr>
      <w:r>
        <w:t xml:space="preserve">3. Responsibility</w:t>
      </w:r>
    </w:p>
    <w:p>
      <w:pPr>
        <w:spacing w:after="100"/>
      </w:pPr>
      <w:r>
        <w:rPr>
          <w:b/>
          <w:bCs/>
        </w:rPr>
        <w:t xml:space="preserve">Dispensing Pharmacist / Nurse: </w:t>
      </w:r>
      <w:r>
        <w:t xml:space="preserve">labels every dispensed unit before it leaves their hands.</w:t>
      </w:r>
    </w:p>
    <w:p>
      <w:pPr>
        <w:pStyle w:val="Heading1"/>
        <w:spacing w:after="150" w:before="300"/>
      </w:pPr>
      <w:r>
        <w:t xml:space="preserve">4. Procedure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Label every dispensed medication for both inpatients and outpatients — labelling scope is universal, not outpatient-only.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Label reconstituted drugs — including chemotherapy medications — with drug name, strength, and preparation/expiry time immediately after reconstitution, before leaving the preparation area.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Label cut strips and bulk containers with drug name, strength, and expiry date, in addition to dosage instructions — a cut strip is never dispensed without its own label.</w:t>
      </w:r>
    </w:p>
    <w:p>
      <w:pPr>
        <w:spacing w:after="120"/>
      </w:pPr>
      <w:r>
        <w:rPr>
          <w:b/>
          <w:bCs/>
        </w:rPr>
        <w:t xml:space="preserve">4. </w:t>
      </w:r>
      <w:r>
        <w:t xml:space="preserve">Never rely on the original manufacturer packaging alone once a strip is cut or a bulk container is subdivided.</w:t>
      </w:r>
    </w:p>
    <w:p>
      <w:pPr>
        <w:pStyle w:val="Heading1"/>
        <w:spacing w:after="150" w:before="300"/>
      </w:pPr>
      <w:r>
        <w:t xml:space="preserve">5. Stop-Work Authority</w:t>
      </w:r>
    </w:p>
    <w:p>
      <w:pPr>
        <w:spacing w:after="150"/>
      </w:pPr>
      <w:r>
        <w:t xml:space="preserve">Do not dispense or administer any medication — including a reconstituted drug, a cut strip, or a bulk-container portion — without a complete label attached to that specific unit.</w:t>
      </w:r>
    </w:p>
    <w:p>
      <w:pPr>
        <w:spacing w:after="150"/>
      </w:pPr>
      <w:r>
        <w:t xml:space="preserve">Any staff member who finds an unlabelled dispensed medication stops its use immediately and returns it for correct labelling — this is never a disciplinary matter.</w:t>
      </w:r>
    </w:p>
    <w:p>
      <w:pPr>
        <w:pStyle w:val="Heading1"/>
        <w:spacing w:after="150" w:before="300"/>
      </w:pPr>
      <w:r>
        <w:t xml:space="preserve">6. Records</w:t>
      </w:r>
    </w:p>
    <w:p>
      <w:pPr>
        <w:spacing w:after="150"/>
      </w:pPr>
      <w:r>
        <w:t xml:space="preserve">Supported by Record 4 of the MOM.6 Required Records pack: Universal Labelling Audit.</w:t>
      </w:r>
    </w:p>
    <w:p>
      <w:pPr>
        <w:pStyle w:val="Heading1"/>
        <w:spacing w:after="150" w:before="300"/>
      </w:pPr>
      <w:r>
        <w:t xml:space="preserve">7. Related Documents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HCO_MOM_6_v2_REWRITE_DRAFT — MOM.6 policy</w:t>
      </w:r>
    </w:p>
    <w:p>
      <w:pPr>
        <w:pStyle w:val="Heading1"/>
        <w:spacing w:after="150" w:before="300"/>
      </w:pPr>
      <w:r>
        <w:t xml:space="preserve">8. Review</w:t>
      </w:r>
    </w:p>
    <w:p>
      <w:pPr>
        <w:spacing w:after="150"/>
      </w:pPr>
      <w:r>
        <w:t xml:space="preserve">Reviewed annually, and immediately after any unlabelled-medication near miss or error.</w:t>
      </w:r>
    </w:p>
    <w:p>
      <w:pPr>
        <w:pStyle w:val="Heading1"/>
        <w:spacing w:after="150" w:before="300"/>
      </w:pPr>
      <w:r>
        <w:t xml:space="preserve">9. References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Institute for Safe Medication Practices (ISMP). (n.d.). List of Confused Drug Names. </w:t>
      </w:r>
      <w:hyperlink r:id="rId8">
        <w:r>
          <w:rPr>
            <w:color w:val="0563C1"/>
            <w:u w:val="single"/>
          </w:rPr>
          <w:t>https://home.ecri.org/blogs/ismp-resources/list-of-confused-drug-names</w:t>
        </w:r>
      </w:hyperlink>
      <w:r>
        <w:t xml:space="preserve"> — labelling practices in this SOP support the differentiation strategies this resource recommends for confusable medications.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https://home.ecri.org/blogs/ismp-resources/list-of-confused-drug-names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2026-09-20T03:22:57.708Z</dcterms:created>
  <dcterms:modified xsi:type="dcterms:W3CDTF">2026-09-20T03:22:57.708Z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