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MOM.7.c — Two-identifier patient ID before administration (Commitment / 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MOM.7 Record 3 — Two-Identifier Verification Log — Stop-Work Compliance</w:t>
      </w:r>
    </w:p>
    <w:p>
      <w:pPr>
        <w:spacing w:after="150"/>
      </w:pPr>
      <w:r>
        <w:rPr>
          <w:i/>
          <w:iCs/>
          <w:color w:val="555555"/>
        </w:rPr>
        <w:t xml:space="preserve">Confirms unique ID and full name are checked before every administration; bed-number matching alone is excluded. Supports the Section 6 stop-work trigger.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2400"/>
        <w:gridCol w:w="180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Full Name Checked (Y/N)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Unique ID Checked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Bed Number Used Alone (Y/N — must be No)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Verified By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IP-2026-0440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P. Bose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2026-09-20T03:16:54.469Z</dcterms:created>
  <dcterms:modified xsi:type="dcterms:W3CDTF">2026-09-20T03:16:54.469Z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