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Medication Administration — Patient, Order and Timing Verification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MOM.7.a (Stop-Work), MOM.7.c (Stop-Work), MOM.7.d (CORE, Stop-Work), MOM.7.e, MOM.7.f, MOM.7.g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verifies the patient, the order, the strength, the route, and the timing before every medication administration.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medication administration, in every clinical area.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Registered Nurse / Administering Doctor: </w:t>
      </w:r>
      <w:r>
        <w:t xml:space="preserve">carries out every verification step before administration, with no exception.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Confirm you are a registered nurse or MBBS-minimum doctor, or hold a documented statutory basis, before administering any medication.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Verify the patient using two identifiers — full name and the unique identification number — before every administration. Bed number alone is never acceptable, even when the ward is quiet and the bed is familiar.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Verify the order is complete against all five parameters — name, strength, route, frequency, time — before administering. If any parameter is missing, defer administration and clarify with the prescriber; never adjust or guess the missing parameter yourself.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For high-risk medications, complete an independent two-staff verification, with both staff documenting the check separately.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Verify strength against the order immediately before administering; if a discrepancy is found, defer and clarify — never adjust at the bedside.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Verify route (and site, where applicable) against the order before administering.</w:t>
      </w:r>
    </w:p>
    <w:p>
      <w:pPr>
        <w:spacing w:after="120"/>
      </w:pPr>
      <w:r>
        <w:rPr>
          <w:b/>
          <w:bCs/>
        </w:rPr>
        <w:t xml:space="preserve">7. </w:t>
      </w:r>
      <w:r>
        <w:t xml:space="preserve">Verify timing against the order; where the order uses a frequency code only, confirm and document the correct clock time from the hospital's standard schedule.</w:t>
      </w:r>
    </w:p>
    <w:p>
      <w:pPr>
        <w:spacing w:after="120"/>
      </w:pPr>
      <w:r>
        <w:rPr>
          <w:b/>
          <w:bCs/>
        </w:rPr>
        <w:t xml:space="preserve">8. </w:t>
      </w:r>
      <w:r>
        <w:t xml:space="preserve">Document every administration immediately after giving it, in the uniform location, as a separate entry for each dose.</w:t>
      </w:r>
    </w:p>
    <w:p>
      <w:pPr>
        <w:pStyle w:val="Heading1"/>
        <w:spacing w:after="150" w:before="300"/>
      </w:pPr>
      <w:r>
        <w:t xml:space="preserve">5. Stop-Work Authority</w:t>
      </w:r>
    </w:p>
    <w:p>
      <w:pPr>
        <w:spacing w:after="150"/>
      </w:pPr>
      <w:r>
        <w:t xml:space="preserve">Do not administer medication if you are not a registered nurse, MBBS-minimum doctor, or otherwise authorised by statute.</w:t>
      </w:r>
    </w:p>
    <w:p>
      <w:pPr>
        <w:spacing w:after="150"/>
      </w:pPr>
      <w:r>
        <w:t xml:space="preserve">Do not administer without completing two-identifier patient verification — bed number alone is never sufficient.</w:t>
      </w:r>
    </w:p>
    <w:p>
      <w:pPr>
        <w:spacing w:after="150"/>
      </w:pPr>
      <w:r>
        <w:t xml:space="preserve">Do not administer against an incomplete order — defer and clarify instead of filling in the gap yourself.</w:t>
      </w:r>
    </w:p>
    <w:p>
      <w:pPr>
        <w:spacing w:after="150"/>
      </w:pPr>
      <w:r>
        <w:t xml:space="preserve">Raising a verification gap before administering is never a disciplinary matter, for any staff member regardless of seniority.</w:t>
      </w:r>
    </w:p>
    <w:p>
      <w:pPr>
        <w:pStyle w:val="Heading1"/>
        <w:spacing w:after="150" w:before="300"/>
      </w:pPr>
      <w:r>
        <w:t xml:space="preserve">6. Records</w:t>
      </w:r>
    </w:p>
    <w:p>
      <w:pPr>
        <w:spacing w:after="150"/>
      </w:pPr>
      <w:r>
        <w:t xml:space="preserve">Supported by Records 1, 3, 4, 5, 6, 7, and 9 of the MOM.7 Required Records pack.</w:t>
      </w:r>
    </w:p>
    <w:p>
      <w:pPr>
        <w:pStyle w:val="Heading1"/>
        <w:spacing w:after="150" w:before="300"/>
      </w:pPr>
      <w:r>
        <w:t xml:space="preserve">7.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HCO_MOM_7_v2_REWRITE_DRAFT — MOM.7 policy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 — IV Line and Tubing Safety (MOM.7.h)</w:t>
      </w:r>
    </w:p>
    <w:p>
      <w:pPr>
        <w:pStyle w:val="Heading1"/>
        <w:spacing w:after="150" w:before="300"/>
      </w:pPr>
      <w:r>
        <w:t xml:space="preserve">8. Review</w:t>
      </w:r>
    </w:p>
    <w:p>
      <w:pPr>
        <w:spacing w:after="150"/>
      </w:pPr>
      <w:r>
        <w:t xml:space="preserve">Reviewed annually, and immediately after any administration-related adverse event.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2026-09-20T03:23:35.276Z</dcterms:created>
  <dcterms:modified xsi:type="dcterms:W3CDTF">2026-09-20T03:23:35.276Z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