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MOM.8.a — Post-administration monitoring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MOM.8 Record 1 — Post-Administration Monitoring Record</w:t>
      </w:r>
    </w:p>
    <w:p>
      <w:pPr>
        <w:spacing w:after="150"/>
      </w:pPr>
      <w:r>
        <w:rPr>
          <w:i/>
          <w:iCs/>
          <w:color w:val="555555"/>
        </w:rPr>
        <w:t xml:space="preserve">Documents monitoring frequency and findings, with specific attention to the three named high-risk patient categories: dialysis, ICU, and elderly.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400"/>
        <w:gridCol w:w="1800"/>
        <w:gridCol w:w="2040"/>
        <w:gridCol w:w="156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High-Risk Category (Dialysis/ICU/Elderly/None)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Monitoring Frequency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Findings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Monitored By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IP-2026-0470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ICU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Every 2 hours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Stable, no adverse signs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R. Shetty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2026-09-20T03:17:17.514Z</dcterms:created>
  <dcterms:modified xsi:type="dcterms:W3CDTF">2026-09-20T03:17:17.514Z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