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MOM.8.b — Medication changes from monitoring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2 — Medication Change Based on Monitoring Record</w:t>
      </w:r>
    </w:p>
    <w:p>
      <w:pPr>
        <w:spacing w:after="150"/>
      </w:pPr>
      <w:r>
        <w:rPr>
          <w:i/>
          <w:iCs/>
          <w:color w:val="555555"/>
        </w:rPr>
        <w:t xml:space="preserve">Documents medication changes made based on clinical response or adverse drug reactions identified through monitoring.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80"/>
        <w:gridCol w:w="1920"/>
        <w:gridCol w:w="1920"/>
        <w:gridCol w:w="168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Finding on Monitoring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Changed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Change Made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Ordered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IP-2026-0470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Rising creatinine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Gentamicin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Dose reduced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Iyer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6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2026-09-20T03:17:17.597Z</dcterms:created>
  <dcterms:modified xsi:type="dcterms:W3CDTF">2026-09-20T03:17:17.597Z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