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MOM.9.a — Written guidance for special drug categories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MOM.9 Record 1 — Special Drug Category Guidance Coverage Checklist</w:t>
      </w:r>
    </w:p>
    <w:p>
      <w:pPr>
        <w:spacing w:after="150"/>
      </w:pPr>
      <w:r>
        <w:rPr>
          <w:i/>
          <w:iCs/>
          <w:color w:val="555555"/>
        </w:rPr>
        <w:t xml:space="preserve">Confirms written guidance covers all handling requirements for narcotic drugs, psychotropic substances, chemotherapeutic agents, and radio-pharmaceuticals.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Drug Category</w:t>
            </w:r>
          </w:p>
        </w:tc>
        <w:tc>
          <w:tcPr>
            <w:tcW w:type="dxa" w:w="34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Handling Requirements Documented (Y/N)</w:t>
            </w:r>
          </w:p>
        </w:tc>
        <w:tc>
          <w:tcPr>
            <w:tcW w:type="dxa" w:w="34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Based on Current Regulation (Y/N)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Narcotic drugs</w:t>
            </w:r>
          </w:p>
        </w:tc>
        <w:tc>
          <w:tcPr>
            <w:tcW w:type="dxa" w:w="34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34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NDPS Act 1985 + Rules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3480"/>
          </w:tcPr>
          <w:p/>
        </w:tc>
        <w:tc>
          <w:tcPr>
            <w:tcW w:type="dxa" w:w="34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3480"/>
          </w:tcPr>
          <w:p/>
        </w:tc>
        <w:tc>
          <w:tcPr>
            <w:tcW w:type="dxa" w:w="34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3480"/>
          </w:tcPr>
          <w:p/>
        </w:tc>
        <w:tc>
          <w:tcPr>
            <w:tcW w:type="dxa" w:w="34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3480"/>
          </w:tcPr>
          <w:p/>
        </w:tc>
        <w:tc>
          <w:tcPr>
            <w:tcW w:type="dxa" w:w="348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3480"/>
          </w:tcPr>
          <w:p/>
        </w:tc>
        <w:tc>
          <w:tcPr>
            <w:tcW w:type="dxa" w:w="34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2026-09-20T03:17:42.648Z</dcterms:created>
  <dcterms:modified xsi:type="dcterms:W3CDTF">2026-09-20T03:17:42.648Z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