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MOM.9.c — Secure storage and access control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3 — Secure Storage &amp; Access Control Log</w:t>
      </w:r>
    </w:p>
    <w:p>
      <w:pPr>
        <w:spacing w:after="150"/>
      </w:pPr>
      <w:r>
        <w:rPr>
          <w:i/>
          <w:iCs/>
          <w:color w:val="555555"/>
        </w:rPr>
        <w:t xml:space="preserve">Confirms secure narcotic/psychotropic storage preventing diversion, authorised-only chemotherapy access, and regulatory-compliant radio-pharmaceutical storage.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20"/>
        <w:gridCol w:w="2160"/>
        <w:gridCol w:w="204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Category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Location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Access Restricted To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Diversion Safeguard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Narcotics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Double-locked narcotic cabinet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Duty nurse + pharmacist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Balance/register reconciled each shift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In-Charge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2026-09-20T03:17:42.747Z</dcterms:created>
  <dcterms:modified xsi:type="dcterms:W3CDTF">2026-09-20T03:17:42.747Z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