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2"/>
          <w:szCs w:val="32"/>
        </w:rPr>
        <w:t xml:space="preserve">Standard Operating Procedure</w:t>
      </w:r>
    </w:p>
    <w:p>
      <w:pPr>
        <w:spacing w:after="60"/>
      </w:pPr>
      <w:r>
        <w:rPr>
          <w:b/>
          <w:bCs/>
          <w:color w:val="444444"/>
          <w:sz w:val="26"/>
          <w:szCs w:val="26"/>
        </w:rPr>
        <w:t xml:space="preserve">Chemotherapy and Radiopharmaceutical Handling</w:t>
      </w:r>
    </w:p>
    <w:p>
      <w:pPr>
        <w:spacing w:after="250"/>
      </w:pPr>
      <w:r>
        <w:rPr>
          <w:i/>
          <w:iCs/>
          <w:color w:val="666666"/>
        </w:rPr>
        <w:t xml:space="preserve">«Hospital Name» — Supports MOM.9.b, MOM.9.c, MOM.9.d, MOM.9.e (chemotherapy/radiopharmaceuticals)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SOP No.</w:t>
            </w:r>
          </w:p>
        </w:tc>
        <w:tc>
          <w:tcPr>
            <w:tcW w:type="dxa" w:w="2340"/>
            <w:gridSpan w:val="1"/>
          </w:tcPr>
          <w:p>
            <w:r>
              <w:t xml:space="preserve">[Hospital to define]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Version</w:t>
            </w:r>
          </w:p>
        </w:tc>
        <w:tc>
          <w:tcPr>
            <w:tcW w:type="dxa" w:w="2340"/>
            <w:gridSpan w:val="1"/>
          </w:tcPr>
          <w:p>
            <w:r>
              <w:t xml:space="preserve">1.0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Effective Date</w:t>
            </w:r>
          </w:p>
        </w:tc>
        <w:tc>
          <w:tcPr>
            <w:tcW w:type="dxa" w:w="2340"/>
            <w:gridSpan w:val="1"/>
          </w:tcPr>
          <w:p>
            <w:r>
              <w:t xml:space="preserve">________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Review Frequency</w:t>
            </w:r>
          </w:p>
        </w:tc>
        <w:tc>
          <w:tcPr>
            <w:tcW w:type="dxa" w:w="2340"/>
            <w:gridSpan w:val="1"/>
          </w:tcPr>
          <w:p>
            <w:r>
              <w:t xml:space="preserve">Annual, or on change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Prepared By</w:t>
            </w:r>
          </w:p>
        </w:tc>
        <w:tc>
          <w:tcPr>
            <w:tcW w:type="dxa" w:w="7020"/>
            <w:gridSpan w:val="3"/>
          </w:tcPr>
          <w:p>
            <w:r>
              <w:t xml:space="preserve">Quality Coordinator   Name: ________   Signature: ________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Approved By</w:t>
            </w:r>
          </w:p>
        </w:tc>
        <w:tc>
          <w:tcPr>
            <w:tcW w:type="dxa" w:w="7020"/>
            <w:gridSpan w:val="3"/>
          </w:tcPr>
          <w:p>
            <w:r>
              <w:t xml:space="preserve">Medical Superintendent   Name: ________   Signature: ________</w:t>
            </w:r>
          </w:p>
        </w:tc>
      </w:tr>
    </w:tbl>
    <w:p>
      <w:pPr>
        <w:spacing w:after="250"/>
      </w:pPr>
    </w:p>
    <w:p>
      <w:pPr>
        <w:pStyle w:val="Heading1"/>
        <w:spacing w:after="150" w:before="300"/>
      </w:pPr>
      <w:r>
        <w:t xml:space="preserve">1. Purpose</w:t>
      </w:r>
    </w:p>
    <w:p>
      <w:pPr>
        <w:spacing w:after="150"/>
      </w:pPr>
      <w:r>
        <w:t xml:space="preserve">This SOP describes how «Hospital Name» prepares and handles chemotherapy and radiopharmaceutical agents safely, protecting both patients and staff.</w:t>
      </w:r>
    </w:p>
    <w:p>
      <w:pPr>
        <w:pStyle w:val="Heading1"/>
        <w:spacing w:after="150" w:before="300"/>
      </w:pPr>
      <w:r>
        <w:t xml:space="preserve">2. Scope</w:t>
      </w:r>
    </w:p>
    <w:p>
      <w:pPr>
        <w:spacing w:after="150"/>
      </w:pPr>
      <w:r>
        <w:t xml:space="preserve">Applies to every chemotherapy and radiopharmaceutical agent prepared or administered at the hospital.</w:t>
      </w:r>
    </w:p>
    <w:p>
      <w:pPr>
        <w:pStyle w:val="Heading1"/>
        <w:spacing w:after="150" w:before="300"/>
      </w:pPr>
      <w:r>
        <w:t xml:space="preserve">3. Responsibility</w:t>
      </w:r>
    </w:p>
    <w:p>
      <w:pPr>
        <w:spacing w:after="100"/>
      </w:pPr>
      <w:r>
        <w:rPr>
          <w:b/>
          <w:bCs/>
        </w:rPr>
        <w:t xml:space="preserve">Medical Oncologist / Authorised Prescriber: </w:t>
      </w:r>
      <w:r>
        <w:t xml:space="preserve">prescribes with demonstrated competency in the relevant agent.</w:t>
      </w:r>
    </w:p>
    <w:p>
      <w:pPr>
        <w:spacing w:after="100"/>
      </w:pPr>
      <w:r>
        <w:rPr>
          <w:b/>
          <w:bCs/>
        </w:rPr>
        <w:t xml:space="preserve">Trained Onco-Pharmacist / Authorised Caregiver: </w:t>
      </w:r>
      <w:r>
        <w:t xml:space="preserve">prepares and administers using required safety equipment.</w:t>
      </w:r>
    </w:p>
    <w:p>
      <w:pPr>
        <w:pStyle w:val="Heading1"/>
        <w:spacing w:after="150" w:before="300"/>
      </w:pPr>
      <w:r>
        <w:t xml:space="preserve">4. Procedure</w:t>
      </w:r>
    </w:p>
    <w:p>
      <w:pPr>
        <w:pStyle w:val="Heading2"/>
        <w:spacing w:after="100" w:before="250"/>
      </w:pPr>
      <w:r>
        <w:t xml:space="preserve">4.1 Chemotherapy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Confirm the prescriber has demonstrated knowledge and competency in chemotherapy — preferably a medical oncologist.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Prepare chemotherapy only in a Class II biosafety cabinet (preferably Class IIA), with appropriate personal protective equipment.</w:t>
      </w:r>
    </w:p>
    <w:p>
      <w:pPr>
        <w:spacing w:after="120"/>
      </w:pPr>
      <w:r>
        <w:rPr>
          <w:b/>
          <w:bCs/>
        </w:rPr>
        <w:t xml:space="preserve">3. </w:t>
      </w:r>
      <w:r>
        <w:t xml:space="preserve">Confirm preparation staff have received special training in hazardous drug handling before assigning them to this duty.</w:t>
      </w:r>
    </w:p>
    <w:p>
      <w:pPr>
        <w:spacing w:after="120"/>
      </w:pPr>
      <w:r>
        <w:rPr>
          <w:b/>
          <w:bCs/>
        </w:rPr>
        <w:t xml:space="preserve">4. </w:t>
      </w:r>
      <w:r>
        <w:t xml:space="preserve">Handle chemotherapy waste and spills per the hospital's hazardous-drug procedure, referencing the current NIOSH hazardous drug classification for the agent.</w:t>
      </w:r>
    </w:p>
    <w:p>
      <w:pPr>
        <w:pStyle w:val="Heading2"/>
        <w:spacing w:after="100" w:before="250"/>
      </w:pPr>
      <w:r>
        <w:t xml:space="preserve">4.2 Radiopharmaceuticals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Confirm the caregiver preparing or administering a radiopharmaceutical is authorised under applicable AERB regulations.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Store and label radiopharmaceuticals per regulatory requirements, with radiation shielding appropriate to the isotope.</w:t>
      </w:r>
    </w:p>
    <w:p>
      <w:pPr>
        <w:pStyle w:val="Heading2"/>
        <w:spacing w:after="100" w:before="250"/>
      </w:pPr>
      <w:r>
        <w:t xml:space="preserve">4.3 Disposal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Dispose of chemotherapy and radiopharmaceutical waste per applicable statutory requirements, keeping the two waste streams separate.</w:t>
      </w:r>
    </w:p>
    <w:p>
      <w:pPr>
        <w:pStyle w:val="Heading1"/>
        <w:spacing w:after="150" w:before="300"/>
      </w:pPr>
      <w:r>
        <w:t xml:space="preserve">5. Records</w:t>
      </w:r>
    </w:p>
    <w:p>
      <w:pPr>
        <w:spacing w:after="150"/>
      </w:pPr>
      <w:r>
        <w:t xml:space="preserve">Supported by Records 2, 4, and 6 of the MOM.9 Required Records pack.</w:t>
      </w:r>
    </w:p>
    <w:p>
      <w:pPr>
        <w:pStyle w:val="Heading1"/>
        <w:spacing w:after="150" w:before="300"/>
      </w:pPr>
      <w:r>
        <w:t xml:space="preserve">6. Related Documents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HCO_MOM_9_v2_REWRITE_DRAFT — MOM.9 policy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SOP — Narcotic and Psychotropic Drug Handling (MOM.9)</w:t>
      </w:r>
    </w:p>
    <w:p>
      <w:pPr>
        <w:pStyle w:val="Heading1"/>
        <w:spacing w:after="150" w:before="300"/>
      </w:pPr>
      <w:r>
        <w:t xml:space="preserve">7. Review</w:t>
      </w:r>
    </w:p>
    <w:p>
      <w:pPr>
        <w:spacing w:after="150"/>
      </w:pPr>
      <w:r>
        <w:t xml:space="preserve">Reviewed annually, and immediately after any chemotherapy spill or preparation-related exposure incident.</w:t>
      </w:r>
    </w:p>
    <w:p>
      <w:pPr>
        <w:pStyle w:val="Heading1"/>
        <w:spacing w:after="150" w:before="300"/>
      </w:pPr>
      <w:r>
        <w:t xml:space="preserve">8. References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National Institute for Occupational Safety and Health (NIOSH), Centers for Disease Control and Prevention. (2024). NIOSH List of Hazardous Drugs in Healthcare Settings, 2024. </w:t>
      </w:r>
      <w:hyperlink r:id="rId8">
        <w:r>
          <w:rPr>
            <w:color w:val="0563C1"/>
            <w:u w:val="single"/>
          </w:rPr>
          <w:t>https://www.cdc.gov/niosh/publications/hcp/numbered/2025-103.html</w:t>
        </w:r>
      </w:hyperlink>
    </w:p>
    <w:p>
      <w:pPr>
        <w:pStyle w:val="ListParagraph"/>
        <w:numPr>
          <w:ilvl w:val="0"/>
          <w:numId w:val="1"/>
        </w:numPr>
        <w:spacing w:after="80"/>
      </w:pPr>
      <w:r>
        <w:t xml:space="preserve">Atomic Energy Regulatory Board, Government of India. (2004). Atomic Energy (Radiation Protection) Rules, 2004. </w:t>
      </w:r>
      <w:hyperlink r:id="rId9">
        <w:r>
          <w:rPr>
            <w:color w:val="0563C1"/>
            <w:u w:val="single"/>
          </w:rPr>
          <w:t>https://www.aerb.gov.in/images/PDF/RPR2004-with-corrigendum.pdf</w:t>
        </w:r>
      </w:hyperlink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yperlink" Target="https://www.cdc.gov/niosh/publications/hcp/numbered/2025-103.html" TargetMode="External"/><Relationship Id="rId9" Type="http://schemas.openxmlformats.org/officeDocument/2006/relationships/hyperlink" Target="https://www.aerb.gov.in/images/PDF/RPR2004-with-corrigendum.pdf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2026-09-20T03:29:23.130Z</dcterms:created>
  <dcterms:modified xsi:type="dcterms:W3CDTF">2026-09-20T03:29:23.130Z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