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Standard Operating Procedure</w:t>
      </w:r>
    </w:p>
    <w:p>
      <w:pPr>
        <w:spacing w:after="60"/>
      </w:pPr>
      <w:r>
        <w:rPr>
          <w:b/>
          <w:bCs/>
          <w:color w:val="444444"/>
          <w:sz w:val="26"/>
          <w:szCs w:val="26"/>
        </w:rPr>
        <w:t xml:space="preserve">Narcotic and Psychotropic Drug Handling</w:t>
      </w:r>
    </w:p>
    <w:p>
      <w:pPr>
        <w:spacing w:after="250"/>
      </w:pPr>
      <w:r>
        <w:rPr>
          <w:i/>
          <w:iCs/>
          <w:color w:val="666666"/>
        </w:rPr>
        <w:t xml:space="preserve">«Hospital Name» — Supports MOM.9.b, MOM.9.c, MOM.9.e (narcotics/psychotropics)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SOP No.</w:t>
            </w:r>
          </w:p>
        </w:tc>
        <w:tc>
          <w:tcPr>
            <w:tcW w:type="dxa" w:w="2340"/>
            <w:gridSpan w:val="1"/>
          </w:tcPr>
          <w:p>
            <w:r>
              <w:t xml:space="preserve">[Hospital to define]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2340"/>
            <w:gridSpan w:val="1"/>
          </w:tcPr>
          <w:p>
            <w:r>
              <w:t xml:space="preserve">1.0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Effective Date</w:t>
            </w:r>
          </w:p>
        </w:tc>
        <w:tc>
          <w:tcPr>
            <w:tcW w:type="dxa" w:w="2340"/>
            <w:gridSpan w:val="1"/>
          </w:tcPr>
          <w:p>
            <w:r>
              <w:t xml:space="preserve">________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 Frequency</w:t>
            </w:r>
          </w:p>
        </w:tc>
        <w:tc>
          <w:tcPr>
            <w:tcW w:type="dxa" w:w="2340"/>
            <w:gridSpan w:val="1"/>
          </w:tcPr>
          <w:p>
            <w:r>
              <w:t xml:space="preserve">Annual, or on change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</w:t>
            </w:r>
          </w:p>
        </w:tc>
        <w:tc>
          <w:tcPr>
            <w:tcW w:type="dxa" w:w="7020"/>
            <w:gridSpan w:val="3"/>
          </w:tcPr>
          <w:p>
            <w:r>
              <w:t xml:space="preserve">Quality Coordinator   Name: ________   Signature: ________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Approved By</w:t>
            </w:r>
          </w:p>
        </w:tc>
        <w:tc>
          <w:tcPr>
            <w:tcW w:type="dxa" w:w="7020"/>
            <w:gridSpan w:val="3"/>
          </w:tcPr>
          <w:p>
            <w:r>
              <w:t xml:space="preserve">Medical Superintendent   Name: ________   Signature: ________</w:t>
            </w:r>
          </w:p>
        </w:tc>
      </w:tr>
    </w:tbl>
    <w:p>
      <w:pPr>
        <w:spacing w:after="250"/>
      </w:pPr>
    </w:p>
    <w:p>
      <w:pPr>
        <w:pStyle w:val="Heading1"/>
        <w:spacing w:after="150" w:before="300"/>
      </w:pPr>
      <w:r>
        <w:t xml:space="preserve">1. Purpose</w:t>
      </w:r>
    </w:p>
    <w:p>
      <w:pPr>
        <w:spacing w:after="150"/>
      </w:pPr>
      <w:r>
        <w:t xml:space="preserve">This SOP describes how «Hospital Name» prescribes, stores, and accounts for narcotic and psychotropic drugs in line with the Narcotic Drugs and Psychotropic Substances (NDPS) Act, preventing diversion or abuse.</w:t>
      </w:r>
    </w:p>
    <w:p>
      <w:pPr>
        <w:pStyle w:val="Heading1"/>
        <w:spacing w:after="150" w:before="300"/>
      </w:pPr>
      <w:r>
        <w:t xml:space="preserve">2. Scope</w:t>
      </w:r>
    </w:p>
    <w:p>
      <w:pPr>
        <w:spacing w:after="150"/>
      </w:pPr>
      <w:r>
        <w:t xml:space="preserve">Applies to every narcotic and psychotropic substance held or administered at the hospital.</w:t>
      </w:r>
    </w:p>
    <w:p>
      <w:pPr>
        <w:pStyle w:val="Heading1"/>
        <w:spacing w:after="150" w:before="300"/>
      </w:pPr>
      <w:r>
        <w:t xml:space="preserve">3. Responsibility</w:t>
      </w:r>
    </w:p>
    <w:p>
      <w:pPr>
        <w:spacing w:after="100"/>
      </w:pPr>
      <w:r>
        <w:rPr>
          <w:b/>
          <w:bCs/>
        </w:rPr>
        <w:t xml:space="preserve">Designated/Privileged Medical Officer: </w:t>
      </w:r>
      <w:r>
        <w:t xml:space="preserve">is the only person who may prescribe these drugs.</w:t>
      </w:r>
    </w:p>
    <w:p>
      <w:pPr>
        <w:spacing w:after="100"/>
      </w:pPr>
      <w:r>
        <w:rPr>
          <w:b/>
          <w:bCs/>
        </w:rPr>
        <w:t xml:space="preserve">Duty Nurse / Pharmacist: </w:t>
      </w:r>
      <w:r>
        <w:t xml:space="preserve">maintains secure storage and reconciles the register every shift.</w:t>
      </w:r>
    </w:p>
    <w:p>
      <w:pPr>
        <w:pStyle w:val="Heading1"/>
        <w:spacing w:after="150" w:before="300"/>
      </w:pPr>
      <w:r>
        <w:t xml:space="preserve">4. Procedure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Confirm the prescriber holds the designated or privileged status required to prescribe narcotics or psychotropics.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Store these drugs in a double-locked cabinet, separate from general stock, with access limited to authorised staff only.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Reconcile the narcotic/psychotropic register against physical stock at every shift change — opening balance, used/administered, wastage, closing balance.</w:t>
      </w:r>
    </w:p>
    <w:p>
      <w:pPr>
        <w:spacing w:after="120"/>
      </w:pPr>
      <w:r>
        <w:rPr>
          <w:b/>
          <w:bCs/>
        </w:rPr>
        <w:t xml:space="preserve">4. </w:t>
      </w:r>
      <w:r>
        <w:t xml:space="preserve">Record wastage with a witness signature, on the same form, at the time it occurs — never after the fact from memory.</w:t>
      </w:r>
    </w:p>
    <w:p>
      <w:pPr>
        <w:spacing w:after="120"/>
      </w:pPr>
      <w:r>
        <w:rPr>
          <w:b/>
          <w:bCs/>
        </w:rPr>
        <w:t xml:space="preserve">5. </w:t>
      </w:r>
      <w:r>
        <w:t xml:space="preserve">Dispose of expired or unused narcotics/psychotropics per the NDPS destruction protocol, witnessed by a second authorised person and, where required, a drug inspector.</w:t>
      </w:r>
    </w:p>
    <w:p>
      <w:pPr>
        <w:pStyle w:val="Heading1"/>
        <w:spacing w:after="150" w:before="300"/>
      </w:pPr>
      <w:r>
        <w:t xml:space="preserve">5. Records</w:t>
      </w:r>
    </w:p>
    <w:p>
      <w:pPr>
        <w:spacing w:after="150"/>
      </w:pPr>
      <w:r>
        <w:t xml:space="preserve">Supported by Records 2, 3, and 5 of the MOM.9 Required Records pack.</w:t>
      </w:r>
    </w:p>
    <w:p>
      <w:pPr>
        <w:pStyle w:val="Heading1"/>
        <w:spacing w:after="150" w:before="300"/>
      </w:pPr>
      <w:r>
        <w:t xml:space="preserve">6. Related Documents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HCO_MOM_9_v2_REWRITE_DRAFT — MOM.9 policy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SOP — Chemotherapy and Radiopharmaceutical Handling (MOM.9)</w:t>
      </w:r>
    </w:p>
    <w:p>
      <w:pPr>
        <w:pStyle w:val="Heading1"/>
        <w:spacing w:after="150" w:before="300"/>
      </w:pPr>
      <w:r>
        <w:t xml:space="preserve">7. Review</w:t>
      </w:r>
    </w:p>
    <w:p>
      <w:pPr>
        <w:spacing w:after="150"/>
      </w:pPr>
      <w:r>
        <w:t xml:space="preserve">Reviewed annually, and immediately after any discrepancy in the narcotic register.</w:t>
      </w:r>
    </w:p>
    <w:p>
      <w:pPr>
        <w:pStyle w:val="Heading1"/>
        <w:spacing w:after="150" w:before="300"/>
      </w:pPr>
      <w:r>
        <w:t xml:space="preserve">8. References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Government of India. (1985). Narcotic Drugs and Psychotropic Substances Act, 1985 (Central Act No. 61 of 1985), and the Narcotic Drugs and Psychotropic Substances Rules, 1985 (as amended). </w:t>
      </w:r>
      <w:hyperlink r:id="rId8">
        <w:r>
          <w:rPr>
            <w:color w:val="0563C1"/>
            <w:u w:val="single"/>
          </w:rPr>
          <w:t>https://www.indiacode.nic.in/bitstream/123456789/15315/1/the_narcotic_drugs_and_psychotropic_substances,_act,_1985.pdf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https://www.indiacode.nic.in/bitstream/123456789/15315/1/the_narcotic_drugs_and_psychotropic_substances,_act,_1985.pdf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2026-09-20T03:29:22.981Z</dcterms:created>
  <dcterms:modified xsi:type="dcterms:W3CDTF">2026-09-20T03:29:22.982Z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