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ROM.1.e — Those responsible for governance support the ethical management framework of the organisation.</w:t>
      </w:r>
    </w:p>
    <w:p>
      <w:r>
        <w:t>ROM.1 Record 02 — Conflict-of-interest declaration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Governance Member: Name and role.</w:t>
      </w:r>
    </w:p>
    <w:p>
      <w:pPr>
        <w:pStyle w:val="ListParagraph"/>
      </w:pPr>
      <w:r>
        <w:t>Declaration Date: When the declaration was made or refreshed.</w:t>
      </w:r>
    </w:p>
    <w:p>
      <w:pPr>
        <w:pStyle w:val="ListParagraph"/>
      </w:pPr>
      <w:r>
        <w:t>Conflict Declared (Y/N, Nature): Whether a conflict was declared, and what it is.</w:t>
      </w:r>
    </w:p>
    <w:p>
      <w:pPr>
        <w:pStyle w:val="ListParagraph"/>
      </w:pPr>
      <w:r>
        <w:t>Management Action: Recusal, disclosure, or other action taken, if a conflict was declared.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governance member's conflict-of-interest declaration, and what the organisation did about any conflict declared.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maintains this at appointment and annual refresh. The worked example shows a declared conflict correctly managed by recusal.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conflict of interest that is never declared cannot be managed — this register is what makes a conflict visible to the organisation before it becomes a problem, not after.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Governance Member</w:t>
            </w:r>
          </w:p>
        </w:tc>
        <w:tc>
          <w:tcPr>
            <w:tcW w:type="dxa" w:w="2160"/>
          </w:tcPr>
          <w:p>
            <w:r>
              <w:t>Declaration Date</w:t>
            </w:r>
          </w:p>
        </w:tc>
        <w:tc>
          <w:tcPr>
            <w:tcW w:type="dxa" w:w="2160"/>
          </w:tcPr>
          <w:p>
            <w:r>
              <w:t>Conflict Declared (Y/N, Nature)</w:t>
            </w:r>
          </w:p>
        </w:tc>
        <w:tc>
          <w:tcPr>
            <w:tcW w:type="dxa" w:w="2160"/>
          </w:tcPr>
          <w:p>
            <w:r>
              <w:t>Management Action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Dr. Rajiv Mehta, Chairperson</w:t>
            </w:r>
          </w:p>
        </w:tc>
        <w:tc>
          <w:tcPr>
            <w:tcW w:type="dxa" w:w="2160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spouse is a vendor for medical consumables</w:t>
            </w:r>
          </w:p>
        </w:tc>
        <w:tc>
          <w:tcPr>
            <w:tcW w:type="dxa" w:w="2160"/>
            <w:shd w:val="clear" w:color="auto" w:fill="FFF2CC"/>
          </w:tcPr>
          <w:p>
            <w:r>
              <w:t>Recused from all vendor-selection decisions involving that vendor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