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Defined Healthcare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 xml:space="preserve">The chapter intent is that the organisation's defined healthcare services are clear, resourced and displayed so that patients receive only what the hospital can actually deliver.</w:t>
      </w:r>
    </w:p>
    <w:p>
      <w:pPr>
        <w:spacing w:after="140"/>
      </w:pPr>
      <w:r>
        <w:rPr>
          <w:sz w:val="22"/>
          <w:szCs w:val="22"/>
        </w:rPr>
        <w:t xml:space="preserve">This policy owns the service definition. AAC.2 owns registration, admission and transfer. AAC.3 owns assessment and reassessment. PRE.1 owns the patient-rights display. The service directory referred to here is the hospital's own list, not a NABH template.</w:t>
      </w:r>
    </w:p>
    <w:p>
      <w:pPr>
        <w:spacing w:after="140"/>
      </w:pPr>
      <w:r>
        <w:rPr>
          <w:sz w:val="22"/>
          <w:szCs w:val="22"/>
        </w:rPr>
        <w:t xml:space="preserve">Words marked «like this» are defaults a small hospital can keep. A blank marked «________» has no sensible default and must be filled before this document is signed.</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 xml:space="preserve">It covers the four elements AAC.1.a–d: defining services in consonance with community needs, ensuring diagnostic and treatment services with qualified personnel across out-patient, in-patient and emergency cover, defining departmental scope, and prominent display.</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transfer in/out and bed-management. This policy owns what services exist for AAC.2 to admit patients into.</w:t>
      </w:r>
    </w:p>
    <w:p>
      <w:pPr>
        <w:pStyle w:val="ListParagraph"/>
        <w:numPr>
          <w:ilvl w:val="0"/>
          <w:numId w:val="1"/>
        </w:numPr>
        <w:spacing w:after="60"/>
      </w:pPr>
      <w:r>
        <w:rPr>
          <w:sz w:val="22"/>
          <w:szCs w:val="22"/>
        </w:rPr>
        <w:t xml:space="preserve">AAC.4/AAC.5 own laboratory and imaging services detail. This policy owns that those services are named in the service directory.</w:t>
      </w:r>
    </w:p>
    <w:p>
      <w:pPr>
        <w:pStyle w:val="ListParagraph"/>
        <w:numPr>
          <w:ilvl w:val="0"/>
          <w:numId w:val="1"/>
        </w:numPr>
        <w:spacing w:after="60"/>
      </w:pPr>
      <w:r>
        <w:rPr>
          <w:sz w:val="22"/>
          <w:szCs w:val="22"/>
        </w:rPr>
        <w:t xml:space="preserve">PRE.1 owns the patient-rights display board. This policy owns the service-directory display.</w:t>
      </w:r>
    </w:p>
    <w:p>
      <w:pPr>
        <w:pStyle w:val="ListParagraph"/>
        <w:numPr>
          <w:ilvl w:val="0"/>
          <w:numId w:val="1"/>
        </w:numPr>
        <w:spacing w:after="60"/>
      </w:pPr>
      <w:r>
        <w:rPr>
          <w:sz w:val="22"/>
          <w:szCs w:val="22"/>
        </w:rPr>
        <w:t xml:space="preserve">PSQ.2 owns quality indicators. This policy owns the definition from which indicators are selected.</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Root-cause analysis is required when the same service-display mismatch recurs; the organisation's defined recurrence threshold applies, as documented in the hospital's Root Cause Analysis procedure.</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AAC.1.</w:t>
      </w:r>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«AAC/POL/01»  |  Controlled document  |  Policy on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