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Laboratory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 xml:space="preserve">The chapter intent is that laboratory services are reliable, timely and quality-assured.</w:t>
      </w:r>
    </w:p>
    <w:p>
      <w:pPr>
        <w:spacing w:after="140"/>
      </w:pPr>
      <w:r>
        <w:rPr>
          <w:sz w:val="22"/>
          <w:szCs w:val="22"/>
        </w:rPr>
        <w:t xml:space="preserve">This policy owns laboratory services. AAC.6 owns laboratory safety. AAC.3 owns clinical assessment that laboratory results inform. PSQ.2 owns quality indicators; laboratory TAT and quality-assurance data feed PSQ.2.</w:t>
      </w:r>
    </w:p>
    <w:p>
      <w:pPr>
        <w:spacing w:after="140"/>
      </w:pPr>
      <w:r>
        <w:rPr>
          <w:sz w:val="22"/>
          <w:szCs w:val="22"/>
        </w:rPr>
        <w:t xml:space="preserve">TAT — turnaround time. 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 xml:space="preserve">It covers the eight elements AAC.4.a–h: scope of services, infrastructure and human resources, specimen handling, TAT, critical results, outsourcing, quality assurance programme, and calibration and maintenance.</w:t>
      </w:r>
    </w:p>
    <w:p>
      <w:pPr>
        <w:spacing w:after="140"/>
      </w:pPr>
      <w:r>
        <w:rPr>
          <w:sz w:val="22"/>
          <w:szCs w:val="22"/>
        </w:rPr>
        <w:t xml:space="preserve">Boundaries:</w:t>
      </w:r>
    </w:p>
    <w:p>
      <w:pPr>
        <w:pStyle w:val="ListParagraph"/>
        <w:numPr>
          <w:ilvl w:val="0"/>
          <w:numId w:val="1"/>
        </w:numPr>
        <w:spacing w:after="60"/>
      </w:pPr>
      <w:r>
        <w:rPr>
          <w:sz w:val="22"/>
          <w:szCs w:val="22"/>
        </w:rPr>
        <w:t xml:space="preserve">AAC.6 owns laboratory safety (safety programme, training, safe practices). This policy owns the laboratory service process.</w:t>
      </w:r>
    </w:p>
    <w:p>
      <w:pPr>
        <w:pStyle w:val="ListParagraph"/>
        <w:numPr>
          <w:ilvl w:val="0"/>
          <w:numId w:val="1"/>
        </w:numPr>
        <w:spacing w:after="60"/>
      </w:pPr>
      <w:r>
        <w:rPr>
          <w:sz w:val="22"/>
          <w:szCs w:val="22"/>
        </w:rPr>
        <w:t xml:space="preserve">AAC.5 owns imaging services. Where both laboratory and imaging share equipment (e.g. point-of-care), the service-specific policy owns the quality assurance for that equipment.</w:t>
      </w:r>
    </w:p>
    <w:p>
      <w:pPr>
        <w:pStyle w:val="ListParagraph"/>
        <w:numPr>
          <w:ilvl w:val="0"/>
          <w:numId w:val="1"/>
        </w:numPr>
        <w:spacing w:after="60"/>
      </w:pPr>
      <w:r>
        <w:rPr>
          <w:sz w:val="22"/>
          <w:szCs w:val="22"/>
        </w:rPr>
        <w:t xml:space="preserve">HIC owns infection control in the laboratory. This policy owns specimen handling as a service process.</w:t>
      </w:r>
    </w:p>
    <w:p>
      <w:pPr>
        <w:pStyle w:val="ListParagraph"/>
        <w:numPr>
          <w:ilvl w:val="0"/>
          <w:numId w:val="1"/>
        </w:numPr>
        <w:spacing w:after="60"/>
      </w:pPr>
      <w:r>
        <w:rPr>
          <w:sz w:val="22"/>
          <w:szCs w:val="22"/>
        </w:rPr>
        <w:t xml:space="preserve">PSQ.2 owns quality indicators. Laboratory TAT and quality-assurance data feed PSQ.2.</w:t>
      </w:r>
    </w:p>
    <w:p>
      <w:pPr>
        <w:pStyle w:val="ListParagraph"/>
        <w:numPr>
          <w:ilvl w:val="0"/>
          <w:numId w:val="1"/>
        </w:numPr>
        <w:spacing w:after="60"/>
      </w:pPr>
      <w:r>
        <w:rPr>
          <w:sz w:val="22"/>
          <w:szCs w:val="22"/>
        </w:rPr>
        <w:t xml:space="preserve">Spell out: turnaround time (TAT), personal protective equipment (PPE).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 xml:space="preserve">Disposal: specimens after processing are disposed of as per Bio-Medical Waste Management Rules, 2016 (AAC.6 owns laboratory safety; disposal is a service step here).</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laboratory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EQAS</w:t>
            </w:r>
          </w:p>
        </w:tc>
        <w:tc>
          <w:tcPr>
            <w:tcW w:type="pct" w:w="22%"/>
            <w:tcBorders>
              <w:top w:val="single" w:color="999999" w:sz="4"/>
              <w:left w:val="single" w:color="999999" w:sz="4"/>
              <w:bottom w:val="single" w:color="999999" w:sz="4"/>
              <w:right w:val="single" w:color="999999" w:sz="4"/>
            </w:tcBorders>
            <w:shd w:fill="E8E8E8" w:val="clear"/>
          </w:tcPr>
          <w:p>
            <w:r>
              <w:rPr>
                <w:b w:val="0"/>
              </w:rPr>
              <w:t>external quality assurance scheme</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IQC</w:t>
            </w:r>
          </w:p>
        </w:tc>
        <w:tc>
          <w:tcPr>
            <w:tcW w:type="pct" w:w="22%"/>
            <w:tcBorders>
              <w:top w:val="single" w:color="999999" w:sz="4"/>
              <w:left w:val="single" w:color="999999" w:sz="4"/>
              <w:bottom w:val="single" w:color="999999" w:sz="4"/>
              <w:right w:val="single" w:color="999999" w:sz="4"/>
            </w:tcBorders>
            <w:shd w:fill="E8E8E8" w:val="clear"/>
          </w:tcPr>
          <w:p>
            <w:r>
              <w:rPr>
                <w:b w:val="0"/>
              </w:rPr>
              <w:t>internal quality control</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AAC.4.</w:t>
      </w:r>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 xml:space="preserve">Bio-Medical Waste Management Rules, 2016 — specimen disposal (safety programme is AAC.6).</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«AAC/POL/04»  |  Controlled document  |  Policy on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