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Anaesthesia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 xml:space="preserve">Boundaries: PRE.3 owns the consent method; this policy owns that consent was obtained before anaesthesia. COP.9 owns procedural sedation; this policy owns general, regional and local anaesthesia provided in the operating theatre or equivalent.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spacing w:after="140"/>
      </w:pPr>
      <w:r>
        <w:rPr>
          <w:sz w:val="22"/>
          <w:szCs w:val="22"/>
        </w:rPr>
        <w:t xml:space="preserve">It covers anaesthesia from pre-assessment through recovery discharge. It does not cover procedural sedation outside the OT (COP.9) or the consent method (PRE.3).</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 xml:space="preserve">PRE.3 owns the consent method. 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an anaesthesia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ASA</w:t>
            </w:r>
          </w:p>
        </w:tc>
        <w:tc>
          <w:tcPr>
            <w:tcW w:type="pct" w:w="22%"/>
            <w:tcBorders>
              <w:top w:val="single" w:color="999999" w:sz="4"/>
              <w:left w:val="single" w:color="999999" w:sz="4"/>
              <w:bottom w:val="single" w:color="999999" w:sz="4"/>
              <w:right w:val="single" w:color="999999" w:sz="4"/>
            </w:tcBorders>
            <w:shd w:fill="E8E8E8" w:val="clear"/>
          </w:tcPr>
          <w:p>
            <w:r>
              <w:rPr>
                <w:b w:val="0"/>
              </w:rPr>
              <w:t>American Society of Anesthesiologists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WFSA</w:t>
            </w:r>
          </w:p>
        </w:tc>
        <w:tc>
          <w:tcPr>
            <w:tcW w:type="pct" w:w="22%"/>
            <w:tcBorders>
              <w:top w:val="single" w:color="999999" w:sz="4"/>
              <w:left w:val="single" w:color="999999" w:sz="4"/>
              <w:bottom w:val="single" w:color="999999" w:sz="4"/>
              <w:right w:val="single" w:color="999999" w:sz="4"/>
            </w:tcBorders>
            <w:shd w:fill="E8E8E8" w:val="clear"/>
          </w:tcPr>
          <w:p>
            <w:r>
              <w:rPr>
                <w:b w:val="0"/>
              </w:rPr>
              <w:t>World Federation of Societies of Anaesthesiologists</w:t>
            </w:r>
          </w:p>
        </w:tc>
      </w:tr>
    </w:tbl>
    <w:p>
      <w:pPr>
        <w:pStyle w:val="Heading1"/>
        <w:spacing w:after="120" w:before="280"/>
      </w:pPr>
      <w:r>
        <w:t>12. Traceability to NABH SHCO 3rd Edition COP.10</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COP.10.</w:t>
      </w:r>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«COP/POL/10»  |  Controlled document  |  Policy on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