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 xml:space="preserve">Boundaries: PSQ owns patient safety goals; this policy owns clinical identification and management of higher-risk patients. COP.8 owns paediatric-specific safety; this policy owns the broader vulnerable-patient framework.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 xml:space="preserve">It covers identification and management of vulnerable patients, fall risk, pressure ulcers, deep vein thrombosis, and restraint use. It does not own patient safety goals (PSQ) or paediatric-specific safety (COP.8).</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 xml:space="preserve">«Hospital Name» identifies vulnerable patients at or soon after admission. Vulnerable categories include «elderly, paediatric (cross-reference COP.8),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 xml:space="preserve">Management includes «fall-risk signage, bed-rail protocol, footwear check, medication review for fall-contributing drugs, mobility assessment, toileting assistance, and patient/family education». Falls are reported, investigated, and entered into the incident register. PSQ owns the safety-goal target; this policy owns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 xml:space="preserve">Management includes «repositioning schedule, pressure-relieving devices, skin inspection, nutrition optimisation, moisture management, and documentation of skin status». New or worsening pressure ulcers are reported and investigated. PSQ owns the safety-goal target; this policy owns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 xml:space="preserve">Management includes «early mobilisation, mechanical prophylaxis (graduated compression stockings, intermittent pneumatic compression), pharmacological prophylaxis where indicated and not contraindicated, hydration, and patient education». VTE events are reported and investigated. PSQ owns the safety-goal target; this policy owns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VTE</w:t>
            </w:r>
          </w:p>
        </w:tc>
        <w:tc>
          <w:tcPr>
            <w:tcW w:type="pct" w:w="22%"/>
            <w:tcBorders>
              <w:top w:val="single" w:color="999999" w:sz="4"/>
              <w:left w:val="single" w:color="999999" w:sz="4"/>
              <w:bottom w:val="single" w:color="999999" w:sz="4"/>
              <w:right w:val="single" w:color="999999" w:sz="4"/>
            </w:tcBorders>
            <w:shd w:fill="E8E8E8" w:val="clear"/>
          </w:tcPr>
          <w:p>
            <w:r>
              <w:rPr>
                <w:b w:val="0"/>
              </w:rPr>
              <w:t>venous thromboembolism</w:t>
            </w:r>
          </w:p>
        </w:tc>
      </w:tr>
    </w:tbl>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