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Nursing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spacing w:after="140"/>
      </w:pPr>
      <w:r>
        <w:rPr>
          <w:sz w:val="22"/>
          <w:szCs w:val="22"/>
        </w:rPr>
        <w:t xml:space="preserve">The chapter intent is that nursing care is aligned with patient care, follows guidelines, is equipped, and is guided by current practice.</w:t>
      </w:r>
    </w:p>
    <w:p>
      <w:pPr>
        <w:spacing w:after="140"/>
      </w:pPr>
      <w:r>
        <w:rPr>
          <w:sz w:val="22"/>
          <w:szCs w:val="22"/>
        </w:rPr>
        <w:t xml:space="preserve">This policy owns nursing care delivery. AAC.3 owns the care plan as a clinical document. COP.1 owns uniform care across settings.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spacing w:after="140"/>
      </w:pPr>
      <w:r>
        <w:rPr>
          <w:sz w:val="22"/>
          <w:szCs w:val="22"/>
        </w:rPr>
        <w:t xml:space="preserve">It covers the four elements COP.4.a–d name. It does not cover the care plan as a clinical document (AAC.3), uniform care across settings (COP.1), or medication administration as a system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the care plan as a clinical document. This policy owns that nursing care is aligned and integrated with that plan.</w:t>
      </w:r>
    </w:p>
    <w:p>
      <w:pPr>
        <w:pStyle w:val="ListParagraph"/>
        <w:numPr>
          <w:ilvl w:val="0"/>
          <w:numId w:val="1"/>
        </w:numPr>
        <w:spacing w:after="60"/>
      </w:pPr>
      <w:r>
        <w:rPr>
          <w:sz w:val="22"/>
          <w:szCs w:val="22"/>
        </w:rPr>
        <w:t xml:space="preserve">COP.1 owns uniform care. This policy owns that nursing care follows adopted guidelines uniformly.</w:t>
      </w:r>
    </w:p>
    <w:p>
      <w:pPr>
        <w:pStyle w:val="ListParagraph"/>
        <w:numPr>
          <w:ilvl w:val="0"/>
          <w:numId w:val="1"/>
        </w:numPr>
        <w:spacing w:after="60"/>
      </w:pPr>
      <w:r>
        <w:rPr>
          <w:sz w:val="22"/>
          <w:szCs w:val="22"/>
        </w:rPr>
        <w:t xml:space="preserve">MOM owns medication management. This policy owns that nurses administer medications as part of nursing care following nursing practice guidelines.</w:t>
      </w:r>
    </w:p>
    <w:p>
      <w:pPr>
        <w:pStyle w:val="ListParagraph"/>
        <w:numPr>
          <w:ilvl w:val="0"/>
          <w:numId w:val="1"/>
        </w:numPr>
        <w:spacing w:after="60"/>
      </w:pPr>
      <w:r>
        <w:rPr>
          <w:sz w:val="22"/>
          <w:szCs w:val="22"/>
        </w:rPr>
        <w:t xml:space="preserve">HIC owns the infection-control programme. This policy owns that nurses follow infection-control practices as part of nursing care.</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 xml:space="preserve">Nursing care is aligned and integrated with overall patient care. Nursing assessments, interventions and outcomes are documented in the patient record — the same record the treating doctor uses. AAC.3 owns the care plan as a clinical document; nursing care follows and contributes to that plan.</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COP.4.</w:t>
      </w:r>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«COP/POL/04»  |  Controlled document  |  Policy on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