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Intensive Care and High Dependency Units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 xml:space="preserve">Boundaries: HIC owns the hospital-wide infection-control programme; this policy owns ICU/HDU-specific infection control practices. COP.2 owns emergency clinical care; this policy owns ICU/HDU care after admission.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spacing w:after="140"/>
      </w:pPr>
      <w:r>
        <w:rPr>
          <w:sz w:val="22"/>
          <w:szCs w:val="22"/>
        </w:rPr>
        <w:t xml:space="preserve">It covers the six elements COP.6.a–f name. It does not cover the hospital-wide infection-control programme (HIC), emergency clinical care (COP.2), or general ward care.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 owns the hospital-wide infection-control programme. This policy owns that infection control practices specific to ICU/HDU are documented and followed.</w:t>
      </w:r>
    </w:p>
    <w:p>
      <w:pPr>
        <w:pStyle w:val="ListParagraph"/>
        <w:numPr>
          <w:ilvl w:val="0"/>
          <w:numId w:val="1"/>
        </w:numPr>
        <w:spacing w:after="60"/>
      </w:pPr>
      <w:r>
        <w:rPr>
          <w:sz w:val="22"/>
          <w:szCs w:val="22"/>
        </w:rPr>
        <w:t xml:space="preserve">COP.2 owns emergency clinical care. This policy owns care within ICU/HDU after admission.</w:t>
      </w:r>
    </w:p>
    <w:p>
      <w:pPr>
        <w:pStyle w:val="ListParagraph"/>
        <w:numPr>
          <w:ilvl w:val="0"/>
          <w:numId w:val="1"/>
        </w:numPr>
        <w:spacing w:after="60"/>
      </w:pPr>
      <w:r>
        <w:rPr>
          <w:sz w:val="22"/>
          <w:szCs w:val="22"/>
        </w:rPr>
        <w:t xml:space="preserve">PRE.3 owns informed consent. This policy owns periodic counselling of patient and/or family in the ICU/HDU context.</w:t>
      </w:r>
    </w:p>
    <w:p>
      <w:pPr>
        <w:pStyle w:val="ListParagraph"/>
        <w:numPr>
          <w:ilvl w:val="0"/>
          <w:numId w:val="1"/>
        </w:numPr>
        <w:spacing w:after="60"/>
      </w:pPr>
      <w:r>
        <w:rPr>
          <w:sz w:val="22"/>
          <w:szCs w:val="22"/>
        </w:rPr>
        <w:t xml:space="preserve">COP.13 owns pain management. This policy owns that pain is managed in ICU/HDU as part of systematic care.</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 xml:space="preserve">HIC owns the hospital-wide infection-control programme. This policy owns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 xml:space="preserve">Comfort care, pain management, dignity, and family support are provided. COP.13 owns pain management; this policy owns that end of life care in ICU/HDU is consistent and lawful.</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Root-cause analysis is required when an ICU/HDU safety event (bundle non-compliance, unplanned readmission,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«COP/POL/06»  |  Controlled document  |  Policy on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