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Para-Clinical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This policy owns the para-clinical credentialing and privileging process and register. HRM.7 owns medical credentialing; HRM.8 owns nursing credentialing. AAC.4.b and AAC.5.c use credentialing outcomes when assigning qualified laboratory and imaging personnel; they do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spacing w:after="140"/>
      </w:pPr>
      <w:r>
        <w:rPr>
          <w:sz w:val="22"/>
          <w:szCs w:val="22"/>
        </w:rPr>
        <w:t xml:space="preserve">It covers the four elements HRM.9.a–d. It does not cover medical credentialing (HRM.7), nursing credentialing (HRM.8), personal files (HRM.6), or department-specific technical SOPs (AAC.4, AAC.5, AAC.6,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para-clinical credentialing file, privileging register and privilege letter.</w:t>
      </w:r>
    </w:p>
    <w:p>
      <w:pPr>
        <w:pStyle w:val="ListParagraph"/>
        <w:numPr>
          <w:ilvl w:val="0"/>
          <w:numId w:val="1"/>
        </w:numPr>
        <w:spacing w:after="60"/>
      </w:pPr>
      <w:r>
        <w:rPr>
          <w:sz w:val="22"/>
          <w:szCs w:val="22"/>
        </w:rPr>
        <w:t xml:space="preserve">HRM.7 owns medical credentialing; HRM.8 owns nursing credentialing. This policy is specific to para-clinical professionals.</w:t>
      </w:r>
    </w:p>
    <w:p>
      <w:pPr>
        <w:pStyle w:val="ListParagraph"/>
        <w:numPr>
          <w:ilvl w:val="0"/>
          <w:numId w:val="1"/>
        </w:numPr>
        <w:spacing w:after="60"/>
      </w:pPr>
      <w:r>
        <w:rPr>
          <w:sz w:val="22"/>
          <w:szCs w:val="22"/>
        </w:rPr>
        <w:t xml:space="preserve">MOM.4 owns authorised medication prescribers (doctors). MOM.8 owns safe handling of narcotics and cytotoxics. This policy credentials the pharmacist; those policies govern what the pharmacist may dispense or handle.</w:t>
      </w:r>
    </w:p>
    <w:p>
      <w:pPr>
        <w:pStyle w:val="ListParagraph"/>
        <w:numPr>
          <w:ilvl w:val="0"/>
          <w:numId w:val="1"/>
        </w:numPr>
        <w:spacing w:after="60"/>
      </w:pPr>
      <w:r>
        <w:rPr>
          <w:sz w:val="22"/>
          <w:szCs w:val="22"/>
        </w:rPr>
        <w:t xml:space="preserve">AAC.4.b and AAC.5.c require qualified laboratory and imaging personnel; this policy verifies the qualification.</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 xml:space="preserve">Pharmacist: dispensing categories, IV admixture, cytotoxic preparation (if additionally trained per MOM.8).</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DMLT</w:t>
            </w:r>
          </w:p>
        </w:tc>
        <w:tc>
          <w:tcPr>
            <w:tcW w:type="pct" w:w="22%"/>
            <w:tcBorders>
              <w:top w:val="single" w:color="999999" w:sz="4"/>
              <w:left w:val="single" w:color="999999" w:sz="4"/>
              <w:bottom w:val="single" w:color="999999" w:sz="4"/>
              <w:right w:val="single" w:color="999999" w:sz="4"/>
            </w:tcBorders>
            <w:shd w:fill="E8E8E8" w:val="clear"/>
          </w:tcPr>
          <w:p>
            <w:r>
              <w:rPr>
                <w:b w:val="0"/>
              </w:rPr>
              <w:t>Diploma in 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MLT</w:t>
            </w:r>
          </w:p>
        </w:tc>
        <w:tc>
          <w:tcPr>
            <w:tcW w:type="pct" w:w="22%"/>
            <w:tcBorders>
              <w:top w:val="single" w:color="999999" w:sz="4"/>
              <w:left w:val="single" w:color="999999" w:sz="4"/>
              <w:bottom w:val="single" w:color="999999" w:sz="4"/>
              <w:right w:val="single" w:color="999999" w:sz="4"/>
            </w:tcBorders>
            <w:shd w:fill="E8E8E8" w:val="clear"/>
          </w:tcPr>
          <w:p>
            <w:r>
              <w:rPr>
                <w:b w:val="0"/>
              </w:rPr>
              <w:t>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State Pharmacy Council</w:t>
            </w:r>
          </w:p>
        </w:tc>
      </w:tr>
    </w:tbl>
    <w:p>
      <w:pPr>
        <w:pStyle w:val="Heading1"/>
        <w:spacing w:after="120" w:before="280"/>
      </w:pPr>
      <w:r>
        <w:t>12. Traceability to NABH SHCO 3rd Edition HRM.9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HRM.9.</w:t>
      </w:r>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«HRM/POL/09»  |  Controlled document  |  Policy on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