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Complete and Accurate Medical Record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 xml:space="preserve">IMS.2 owns the medical-record system: structure, who may write, and how an entry is authenticated. Care chapters own the clinical content of those entries. IMS.3 owns continuity items (admission reason, assessments, transfer, discharge-summary copy, cause-of-death copy, access). AAC.2 owns generation of the unique identification number at registration.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spacing w:after="140"/>
      </w:pPr>
      <w:r>
        <w:rPr>
          <w:sz w:val="22"/>
          <w:szCs w:val="22"/>
        </w:rPr>
        <w:t xml:space="preserve">It covers the five elements IMS.2.a–e. It does not cover continuity-of-care contents (IMS.3), confidentiality and disclosure (IMS.4), retention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AAC.2.b generates the unique identification number at the end of registration. This policy assigns that unique identifier to the medical record so every record is the same number as the registration identifier.</w:t>
      </w:r>
    </w:p>
    <w:p>
      <w:pPr>
        <w:pStyle w:val="ListParagraph"/>
        <w:numPr>
          <w:ilvl w:val="0"/>
          <w:numId w:val="1"/>
        </w:numPr>
        <w:spacing w:after="60"/>
      </w:pPr>
      <w:r>
        <w:rPr>
          <w:sz w:val="22"/>
          <w:szCs w:val="22"/>
        </w:rPr>
        <w:t xml:space="preserve">Care chapters (AAC, COP, MOM, HIC) own what is clinically written. This policy owns that the record is complete, chronological and authenticated.</w:t>
      </w:r>
    </w:p>
    <w:p>
      <w:pPr>
        <w:pStyle w:val="ListParagraph"/>
        <w:numPr>
          <w:ilvl w:val="0"/>
          <w:numId w:val="1"/>
        </w:numPr>
        <w:spacing w:after="60"/>
      </w:pPr>
      <w:r>
        <w:rPr>
          <w:sz w:val="22"/>
          <w:szCs w:val="22"/>
        </w:rPr>
        <w:t xml:space="preserve">IMS.3 owns specific continuity items (discharge-summary copy, cause-of-death copy, transfer details). This policy owns the general content list and entry rules.</w:t>
      </w:r>
    </w:p>
    <w:p>
      <w:pPr>
        <w:pStyle w:val="ListParagraph"/>
        <w:numPr>
          <w:ilvl w:val="0"/>
          <w:numId w:val="1"/>
        </w:numPr>
        <w:spacing w:after="60"/>
      </w:pPr>
      <w:r>
        <w:rPr>
          <w:sz w:val="22"/>
          <w:szCs w:val="22"/>
        </w:rPr>
        <w:t xml:space="preserve">HRM.6 owns staff personal files. This policy owns the patient medical record.</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Opening or filing a medical record without the unique identifier generated at registration (AAC.2.b).</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 xml:space="preserve">The identifier is the unique identification number generated at the end of registration under AAC.2.b.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 xml:space="preserve">IMS.2.b is asterisked: a contents list that is not followed, or a record that cannot be read in time order, fails the OE. IMS.3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 xml:space="preserve">A verbal order is written by the receiving nurse, named, signed, dated and timed, and countersigned by the ordering doctor within «24 hours». MOM.4 owns the medication-order format; this step owns the authentication of the record entry.</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 xml:space="preserve">Dangerous abbreviations (for example those that can be read as a different dose or drug) are not authorised. The list is reviewed «annually» or when a near-miss related to an abbreviation is reported under PSQ.5.</w:t>
      </w:r>
    </w:p>
    <w:p>
      <w:pPr>
        <w:spacing w:after="140"/>
      </w:pPr>
      <w:r>
        <w:rPr>
          <w:sz w:val="22"/>
          <w:szCs w:val="22"/>
        </w:rPr>
        <w:t xml:space="preserve">IMS.6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abbreviation and authentication findings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IMS.2.</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«IMS/POL/02»  |  Controlled document  |  Policy on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