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Prescribed Safely and Rationally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 owns the formulary. MOM.4 owns uniform order writing. MOM.5 owns dispensing. MOM.6 owns administration.</w:t>
      </w:r>
    </w:p>
    <w:p>
      <w:pPr>
        <w:pStyle w:val="ListParagraph"/>
        <w:numPr>
          <w:ilvl w:val="0"/>
          <w:numId w:val="1"/>
        </w:numPr>
        <w:spacing w:after="60"/>
      </w:pPr>
      <w:r>
        <w:rPr>
          <w:sz w:val="22"/>
          <w:szCs w:val="22"/>
        </w:rPr>
        <w:t xml:space="preserve">MOM.7 owns monitoring after administration, near-miss and adverse-drug-reaction reporting. Audit findings under MOM.3.f–g that relate to adverse events feed into MOM.7.</w:t>
      </w:r>
    </w:p>
    <w:p>
      <w:pPr>
        <w:pStyle w:val="ListParagraph"/>
        <w:numPr>
          <w:ilvl w:val="0"/>
          <w:numId w:val="1"/>
        </w:numPr>
        <w:spacing w:after="60"/>
      </w:pPr>
      <w:r>
        <w:rPr>
          <w:sz w:val="22"/>
          <w:szCs w:val="22"/>
        </w:rPr>
        <w:t xml:space="preserve">PSQ.5 owns the general incident reporting system; medication-related audit findings cross-reference PSQ.5 where applicable.</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Actions are tracked to closure. Root-cause analysis is required when the same prescribing defect recurs; the organisation's defined recurrence threshold applies, as documented in the hospital's Root Cause Analysis procedure.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Root-cause analysis is required when the same prescribing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LASA</w:t>
            </w:r>
          </w:p>
        </w:tc>
        <w:tc>
          <w:tcPr>
            <w:tcW w:type="pct" w:w="22%"/>
            <w:tcBorders>
              <w:top w:val="single" w:color="999999" w:sz="4"/>
              <w:left w:val="single" w:color="999999" w:sz="4"/>
              <w:bottom w:val="single" w:color="999999" w:sz="4"/>
              <w:right w:val="single" w:color="999999" w:sz="4"/>
            </w:tcBorders>
            <w:shd w:fill="E8E8E8" w:val="clear"/>
          </w:tcPr>
          <w:p>
            <w:r>
              <w:rPr>
                <w:b w:val="0"/>
              </w:rPr>
              <w:t>look-alike sound-alike</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MOM.3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MOM/POL/03  |  Controlled document  |  Policy on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