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Informed Consent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«Hospital Name»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The chapter intent is that informed consent is obtained for specified procedures and care, and that key components include risks, benefits and alternatives.</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every situation at «Hospital Name»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spacing w:after="140"/>
      </w:pPr>
      <w:r>
        <w:rPr>
          <w:sz w:val="22"/>
          <w:szCs w:val="22"/>
        </w:rPr>
        <w:t xml:space="preserve">Boundaries:</w:t>
      </w:r>
    </w:p>
    <w:p>
      <w:pPr>
        <w:pStyle w:val="ListParagraph"/>
        <w:numPr>
          <w:ilvl w:val="0"/>
          <w:numId w:val="1"/>
        </w:numPr>
        <w:spacing w:after="60"/>
      </w:pPr>
      <w:r>
        <w:rPr>
          <w:sz w:val="22"/>
          <w:szCs w:val="22"/>
        </w:rPr>
        <w:t xml:space="preserve">PRE.2.g lists the right that consent is obtained before those acts. This policy owns the method.</w:t>
      </w:r>
    </w:p>
    <w:p>
      <w:pPr>
        <w:pStyle w:val="ListParagraph"/>
        <w:numPr>
          <w:ilvl w:val="0"/>
          <w:numId w:val="1"/>
        </w:numPr>
        <w:spacing w:after="60"/>
      </w:pPr>
      <w:r>
        <w:rPr>
          <w:sz w:val="22"/>
          <w:szCs w:val="22"/>
        </w:rPr>
        <w:t xml:space="preserve">COP.5, COP.9, COP.10 and COP.11 own that the relevant consent happened before those acts.</w:t>
      </w:r>
    </w:p>
    <w:p>
      <w:pPr>
        <w:pStyle w:val="ListParagraph"/>
        <w:numPr>
          <w:ilvl w:val="0"/>
          <w:numId w:val="1"/>
        </w:numPr>
        <w:spacing w:after="60"/>
      </w:pPr>
      <w:r>
        <w:rPr>
          <w:sz w:val="22"/>
          <w:szCs w:val="22"/>
        </w:rPr>
        <w:t xml:space="preserve">PRE.4 owns ongoing education in a language they can understand. PRE.3.b is the consent conversation.</w:t>
      </w:r>
    </w:p>
    <w:p>
      <w:pPr>
        <w:pStyle w:val="ListParagraph"/>
        <w:numPr>
          <w:ilvl w:val="0"/>
          <w:numId w:val="1"/>
        </w:numPr>
        <w:spacing w:after="60"/>
      </w:pPr>
      <w:r>
        <w:rPr>
          <w:sz w:val="22"/>
          <w:szCs w:val="22"/>
        </w:rPr>
        <w:t xml:space="preserve">PRE.1 and PRE.2.e: refusal is a right; this policy records consent not given.</w:t>
      </w:r>
    </w:p>
    <w:p>
      <w:pPr>
        <w:pStyle w:val="ListParagraph"/>
        <w:numPr>
          <w:ilvl w:val="0"/>
          <w:numId w:val="1"/>
        </w:numPr>
        <w:spacing w:after="60"/>
      </w:pPr>
      <w:r>
        <w:rPr>
          <w:sz w:val="22"/>
          <w:szCs w:val="22"/>
        </w:rPr>
        <w:t xml:space="preserve">MOM.9 implant usage counselling is not surgical consent.</w:t>
      </w:r>
    </w:p>
    <w:p>
      <w:pPr>
        <w:pStyle w:val="ListParagraph"/>
        <w:numPr>
          <w:ilvl w:val="0"/>
          <w:numId w:val="1"/>
        </w:numPr>
        <w:spacing w:after="60"/>
      </w:pPr>
      <w:r>
        <w:rPr>
          <w:sz w:val="22"/>
          <w:szCs w:val="22"/>
        </w:rPr>
        <w:t xml:space="preserve">Capacity under the Mental Healthcare Act, 2017 is PRE.3.c when that Act's definition of a person with mental illness is met — not a blanket for every unconscious patient.</w:t>
      </w:r>
    </w:p>
    <w:p>
      <w:pPr>
        <w:pStyle w:val="Heading1"/>
        <w:spacing w:after="120" w:before="280"/>
      </w:pPr>
      <w:r>
        <w:t xml:space="preserve">3. Policy standards</w:t>
      </w:r>
    </w:p>
    <w:p>
      <w:pPr>
        <w:spacing w:after="140"/>
      </w:pPr>
      <w:r>
        <w:rPr>
          <w:sz w:val="22"/>
          <w:szCs w:val="22"/>
        </w:rPr>
        <w:t xml:space="preserve">«Hospital Name» obtains informed consent from the patient or family for situations where informed consent is required. The process adheres to statutory norms.</w:t>
      </w:r>
    </w:p>
    <w:p>
      <w:pPr>
        <w:spacing w:after="140"/>
      </w:pPr>
      <w:r>
        <w:rPr>
          <w:sz w:val="22"/>
          <w:szCs w:val="22"/>
        </w:rPr>
        <w:t xml:space="preserve">«Hospital Name» includes in that consent the procedure, its risks, benefits, alternatives, and who will perform it, in a language the patient or family can understand.</w:t>
      </w:r>
    </w:p>
    <w:p>
      <w:pPr>
        <w:spacing w:after="140"/>
      </w:pPr>
      <w:r>
        <w:rPr>
          <w:sz w:val="22"/>
          <w:szCs w:val="22"/>
        </w:rPr>
        <w:t xml:space="preserve">«Hospital Name» describes who can give consent when a patient is incapable of independent decision-making, and implements that description.</w:t>
      </w:r>
    </w:p>
    <w:p>
      <w:pPr>
        <w:spacing w:after="140"/>
      </w:pPr>
      <w:r>
        <w:rPr>
          <w:sz w:val="22"/>
          <w:szCs w:val="22"/>
        </w:rPr>
        <w:t xml:space="preserve">«Hospital Name» requires that informed consent is taken by the person performing the procedure.</w:t>
      </w:r>
    </w:p>
    <w:p>
      <w:pPr>
        <w:spacing w:after="140"/>
      </w:pPr>
      <w:r>
        <w:rPr>
          <w:sz w:val="22"/>
          <w:szCs w:val="22"/>
        </w:rPr>
        <w:t xml:space="preserve">«Hospital Name»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«Hospital Name»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«Hospital Name».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10.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MHCA</w:t>
            </w:r>
          </w:p>
        </w:tc>
        <w:tc>
          <w:tcPr>
            <w:tcW w:type="pct" w:w="22%"/>
            <w:tcBorders>
              <w:top w:val="single" w:color="999999" w:sz="4"/>
              <w:left w:val="single" w:color="999999" w:sz="4"/>
              <w:bottom w:val="single" w:color="999999" w:sz="4"/>
              <w:right w:val="single" w:color="999999" w:sz="4"/>
            </w:tcBorders>
            <w:shd w:fill="E8E8E8" w:val="clear"/>
          </w:tcPr>
          <w:p>
            <w:r>
              <w:rPr>
                <w:b w:val="0"/>
              </w:rPr>
              <w:t>Mental Healthcare Act, 2017</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PRE.3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«Hospital Name»: consent situations list; consent process; incapacity description; transfusion, sedation, anaesthesia and procedures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«PRE/POL/03»  |  Controlled document  |  Policy on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2026-08-19T07:21:32.975Z</dcterms:created>
  <dcterms:modified xsi:type="dcterms:W3CDTF">2026-08-19T07:21:32.975Z</dcterms:modified>
</cp:coreProperties>
</file>

<file path=docProps/custom.xml><?xml version="1.0" encoding="utf-8"?>
<Properties xmlns="http://schemas.openxmlformats.org/officeDocument/2006/custom-properties" xmlns:vt="http://schemas.openxmlformats.org/officeDocument/2006/docPropsVTypes"/>
</file>