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Education and Communication about Healthcare Needs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spacing w:after="140"/>
      </w:pPr>
      <w:r>
        <w:rPr>
          <w:sz w:val="22"/>
          <w:szCs w:val="22"/>
        </w:rPr>
        <w:t xml:space="preserve">Boundaries:</w:t>
      </w:r>
    </w:p>
    <w:p>
      <w:pPr>
        <w:pStyle w:val="ListParagraph"/>
        <w:numPr>
          <w:ilvl w:val="0"/>
          <w:numId w:val="1"/>
        </w:numPr>
        <w:spacing w:after="60"/>
      </w:pPr>
      <w:r>
        <w:rPr>
          <w:sz w:val="22"/>
          <w:szCs w:val="22"/>
        </w:rPr>
        <w:t xml:space="preserve">PRE.3.b is the consent conversation; this policy is ongoing education in the same language.</w:t>
      </w:r>
    </w:p>
    <w:p>
      <w:pPr>
        <w:pStyle w:val="ListParagraph"/>
        <w:numPr>
          <w:ilvl w:val="0"/>
          <w:numId w:val="1"/>
        </w:numPr>
        <w:spacing w:after="60"/>
      </w:pPr>
      <w:r>
        <w:rPr>
          <w:sz w:val="22"/>
          <w:szCs w:val="22"/>
        </w:rPr>
        <w:t xml:space="preserve">AAC.8 owns follow-up advice on the discharge summary and hands teaching method to PRE.</w:t>
      </w:r>
    </w:p>
    <w:p>
      <w:pPr>
        <w:pStyle w:val="ListParagraph"/>
        <w:numPr>
          <w:ilvl w:val="0"/>
          <w:numId w:val="1"/>
        </w:numPr>
        <w:spacing w:after="60"/>
      </w:pPr>
      <w:r>
        <w:rPr>
          <w:sz w:val="22"/>
          <w:szCs w:val="22"/>
        </w:rPr>
        <w:t xml:space="preserve">MOM.6 administers; MOM.7 captures NM/ME/ADR; PRE.4.b teaches about medicines and side effects.</w:t>
      </w:r>
    </w:p>
    <w:p>
      <w:pPr>
        <w:pStyle w:val="ListParagraph"/>
        <w:numPr>
          <w:ilvl w:val="0"/>
          <w:numId w:val="1"/>
        </w:numPr>
        <w:spacing w:after="60"/>
      </w:pPr>
      <w:r>
        <w:rPr>
          <w:sz w:val="22"/>
          <w:szCs w:val="22"/>
        </w:rPr>
        <w:t xml:space="preserve">COP.13, COP.8 and HIC.3 own clinical diet, immunisation and kitchen method; PRE.4.c teaches.</w:t>
      </w:r>
    </w:p>
    <w:p>
      <w:pPr>
        <w:pStyle w:val="ListParagraph"/>
        <w:numPr>
          <w:ilvl w:val="0"/>
          <w:numId w:val="1"/>
        </w:numPr>
        <w:spacing w:after="60"/>
      </w:pPr>
      <w:r>
        <w:rPr>
          <w:sz w:val="22"/>
          <w:szCs w:val="22"/>
        </w:rPr>
        <w:t xml:space="preserve">HIC.2/HIC.4/HIC.5 own IPC method; PRE.4.e teaches how patients can help prevent HAI.</w:t>
      </w:r>
    </w:p>
    <w:p>
      <w:pPr>
        <w:pStyle w:val="ListParagraph"/>
        <w:numPr>
          <w:ilvl w:val="0"/>
          <w:numId w:val="1"/>
        </w:numPr>
        <w:spacing w:after="60"/>
      </w:pPr>
      <w:r>
        <w:rPr>
          <w:sz w:val="22"/>
          <w:szCs w:val="22"/>
        </w:rPr>
        <w:t xml:space="preserve">PRE.2.j access to records; IMS owns the file.</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«PRE/POL/04»  |  Controlled document  |  Policy on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