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Patient-Safety Programme and Quality Improvement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 xml:space="preserve">This policy describes how «Hospital Name» maintains a patient-safety programme and a structured quality improvement programme that together satisfy PSQ.1.a–i.</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spacing w:after="140"/>
      </w:pPr>
      <w:r>
        <w:rPr>
          <w:sz w:val="22"/>
          <w:szCs w:val="22"/>
        </w:rPr>
        <w:t xml:space="preserve">PSQ.1 owns the programmes, their committees, their reviews and their audits. ROM.4 owns leadership ownership of organisational risk. PSQ.2 owns the key indicators. PSQ.3 owns the clinical audit system. PSQ.4 owns management support. PSQ.5 owns incident analysis.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spacing w:after="140"/>
      </w:pPr>
      <w:r>
        <w:rPr>
          <w:sz w:val="22"/>
          <w:szCs w:val="22"/>
        </w:rPr>
        <w:t xml:space="preserve">It covers the nine objective elements PSQ.1.a–i. It does not cover key indicators (PSQ.2), the clinical audit system (PSQ.3), management support for the programmes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owns leadership ownership of organisational risk; PSQ.1 owns the actual patient-safety programme, safety goals, QI programme, audits and nursing quality monitoring. Cross-reference ROM.4 for leadership risk registers.</w:t>
      </w:r>
    </w:p>
    <w:p>
      <w:pPr>
        <w:pStyle w:val="ListParagraph"/>
        <w:numPr>
          <w:ilvl w:val="0"/>
          <w:numId w:val="1"/>
        </w:numPr>
        <w:spacing w:after="60"/>
      </w:pPr>
      <w:r>
        <w:rPr>
          <w:sz w:val="22"/>
          <w:szCs w:val="22"/>
        </w:rPr>
        <w:t xml:space="preserve">PSQ.2 owns clinical, infection-control, managerial and patient-safety indicators. PSQ.1 uses indicator data as input to opportunity identification.</w:t>
      </w:r>
    </w:p>
    <w:p>
      <w:pPr>
        <w:pStyle w:val="ListParagraph"/>
        <w:numPr>
          <w:ilvl w:val="0"/>
          <w:numId w:val="1"/>
        </w:numPr>
        <w:spacing w:after="60"/>
      </w:pPr>
      <w:r>
        <w:rPr>
          <w:sz w:val="22"/>
          <w:szCs w:val="22"/>
        </w:rPr>
        <w:t xml:space="preserve">PSQ.3 owns the clinical audit system. PSQ.1.h is regular audits as a monitoring tool within the programmes.</w:t>
      </w:r>
    </w:p>
    <w:p>
      <w:pPr>
        <w:pStyle w:val="ListParagraph"/>
        <w:numPr>
          <w:ilvl w:val="0"/>
          <w:numId w:val="1"/>
        </w:numPr>
        <w:spacing w:after="60"/>
      </w:pPr>
      <w:r>
        <w:rPr>
          <w:sz w:val="22"/>
          <w:szCs w:val="22"/>
        </w:rPr>
        <w:t xml:space="preserve">PSQ.4 owns management support and resources. PSQ.1 committees report to management under PSQ.4.</w:t>
      </w:r>
    </w:p>
    <w:p>
      <w:pPr>
        <w:pStyle w:val="ListParagraph"/>
        <w:numPr>
          <w:ilvl w:val="0"/>
          <w:numId w:val="1"/>
        </w:numPr>
        <w:spacing w:after="60"/>
      </w:pPr>
      <w:r>
        <w:rPr>
          <w:sz w:val="22"/>
          <w:szCs w:val="22"/>
        </w:rPr>
        <w:t xml:space="preserve">PSQ.5 owns incident collection and analysis. PSQ.1 uses incident trends as input to the patient-safety programme.</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 xml:space="preserve">The programme covers: proactive risk identification, reactive incident review (using PSQ.5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 xml:space="preserve">The patient-safety programme identifies opportunities for improvement based on review at pre-defined intervals: «quarterly» committee meetings, «monthly» incident-trend reports from PSQ.5, and «six-monthly» proactive risk assessments.</w:t>
      </w:r>
    </w:p>
    <w:p>
      <w:pPr>
        <w:spacing w:after="140"/>
      </w:pPr>
      <w:r>
        <w:rPr>
          <w:sz w:val="22"/>
          <w:szCs w:val="22"/>
        </w:rPr>
        <w:t xml:space="preserve">Sources of opportunity include incident data (PSQ.5), indicator trends (PSQ.2), clinical audit findings (PSQ.3), patient complaints that reveal clinical risk (PRE.6 → PSQ.5 crossover),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 xml:space="preserve">A designated individual — the «Quality Coordinator» — coordinates and implements the QI programme. This person is named in the appointment register and has documented responsibilities including: coordinating QI projects, maintaining the indicator dashboard (PSQ.2),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 xml:space="preserve">Sources include key indicator data (PSQ.2), audit findings (PSQ.1.h / PSQ.3), incident trends (PSQ.5), patient feedback (PRE.6),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 xml:space="preserve">Each audit has a defined scope, criteria, method, findings and recommendations. Findings feed into the patient-safety and QI programmes as opportunities for improvement. Audit reports are presented to the committee and tracked for CAPA closure. PSQ.3 owns the clinical audit system in detail; this step is audits as a QI monitoring tool.</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 xml:space="preserve">This policy is reviewed «annually», and sooner when PSQ.2,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patient-safety and QI activities are trained on this policy at induction and «once a year» after that. Training covers the patient-safety programme, QI programme, audit participation, incident reporting (pointer to PSQ.5)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FMEA</w:t>
            </w:r>
          </w:p>
        </w:tc>
        <w:tc>
          <w:tcPr>
            <w:tcW w:type="pct" w:w="22%"/>
            <w:tcBorders>
              <w:top w:val="single" w:color="999999" w:sz="4"/>
              <w:left w:val="single" w:color="999999" w:sz="4"/>
              <w:bottom w:val="single" w:color="999999" w:sz="4"/>
              <w:right w:val="single" w:color="999999" w:sz="4"/>
            </w:tcBorders>
            <w:shd w:fill="E8E8E8" w:val="clear"/>
          </w:tcPr>
          <w:p>
            <w:r>
              <w:rPr>
                <w:b w:val="0"/>
              </w:rPr>
              <w:t>failure mode and effect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IPSG</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Patient Safety Goals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PSQ.1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PSQ.1.</w:t>
      </w:r>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«PSQ/POL/01»  |  Controlled document  |  Policy on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