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Organisation's Leader — Qualifications, Experience and Performance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 xml:space="preserve">The chapter intent is that the responsibilities of management are defined. The responsibilities of the leaders at all levels are defined. Management executes its responsibility for compliance with all applicable regulations.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spacing w:after="140"/>
      </w:pPr>
      <w:r>
        <w:rPr>
          <w:sz w:val="22"/>
          <w:szCs w:val="22"/>
        </w:rPr>
        <w:t xml:space="preserve">It covers the four elements ROM.2.a–d name. It does not cover governance roles and responsibilities (ROM.1),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identification of governance roles and appointment of senior leaders. This policy owns the qualifications and experience of the person heading the organisation (the appointee).</w:t>
      </w:r>
    </w:p>
    <w:p>
      <w:pPr>
        <w:pStyle w:val="ListParagraph"/>
        <w:numPr>
          <w:ilvl w:val="0"/>
          <w:numId w:val="1"/>
        </w:numPr>
        <w:spacing w:after="60"/>
      </w:pPr>
      <w:r>
        <w:rPr>
          <w:sz w:val="22"/>
          <w:szCs w:val="22"/>
        </w:rPr>
        <w:t xml:space="preserve">ROM.3 owns strategic and operational plans and service standards. This policy owns the leader's compliance with legislation relevant to those plans.</w:t>
      </w:r>
    </w:p>
    <w:p>
      <w:pPr>
        <w:pStyle w:val="ListParagraph"/>
        <w:numPr>
          <w:ilvl w:val="0"/>
          <w:numId w:val="1"/>
        </w:numPr>
        <w:spacing w:after="60"/>
      </w:pPr>
      <w:r>
        <w:rPr>
          <w:sz w:val="22"/>
          <w:szCs w:val="22"/>
        </w:rPr>
        <w:t xml:space="preserve">HRM owns general staff qualifications and credentialling. This policy is specific to the person heading the organisation.</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 xml:space="preserve">This step does not duplicate the detailed statutory requirements addressed in other policies of «Hospital Name» (for example FMS for fire and safety, HIC for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 xml:space="preserve">ROM.1.c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ROM.2.</w:t>
      </w:r>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«ROM/POL/02»  |  Controlled document  |  Policy on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