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ROM.1.b — Those responsible for governance lay down the organisation's vision, mission and values and make them public.</w:t>
      </w:r>
    </w:p>
    <w:p>
      <w:r>
        <w:t>ROM.1 Record 01 — Vision, mission and values — approval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Version: The version number of the vision, mission and values statement.</w:t>
      </w:r>
    </w:p>
    <w:p>
      <w:pPr>
        <w:pStyle w:val="ListParagraph"/>
      </w:pPr>
      <w:r>
        <w:t>Approved By: Who in the governing body approved this version.</w:t>
      </w:r>
    </w:p>
    <w:p>
      <w:pPr>
        <w:pStyle w:val="ListParagraph"/>
      </w:pPr>
      <w:r>
        <w:t>Approval Date: The date it was approved.</w:t>
      </w:r>
    </w:p>
    <w:p>
      <w:pPr>
        <w:pStyle w:val="ListParagraph"/>
      </w:pPr>
      <w:r>
        <w:t>Supersedes Version: The previous version this replaces, if any.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p>
      <w:pPr>
        <w:pStyle w:val="ListParagraph"/>
      </w:pPr>
      <w:r>
        <w:t xml:space="preserve">International Organization for Standardization. (2026). </w:t>
      </w:r>
      <w:hyperlink r:id="rId10">
        <w:r>
          <w:rPr>
            <w:color w:val="0563C1"/>
            <w:u w:val="single"/>
          </w:rPr>
          <w:t>ISO 9001:2026, Quality management systems — Requirements</w:t>
        </w:r>
      </w:hyperlink>
      <w:r>
        <w:t>, clause 5.2. External benchmark only; not an NABH mandate.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each approved version of the vision, mission and values statement — proof that what's on display was actually approved by governance, not drafted informally.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Medical Superintendent logs a new row whenever the governing body approves a version. The worked example shows version 2.0 approved 10-Jan-2026, replacing an older 2023 version.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displayed mission statement with no approval trail cannot be shown to actually be the organisation's governed position — this record is that trail.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Approval Date</w:t>
            </w:r>
          </w:p>
        </w:tc>
        <w:tc>
          <w:tcPr>
            <w:tcW w:type="dxa" w:w="2160"/>
          </w:tcPr>
          <w:p>
            <w:r>
              <w:t>Supersedes Version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>
              <w:t>v2.0</w:t>
            </w:r>
          </w:p>
        </w:tc>
        <w:tc>
          <w:tcPr>
            <w:tcW w:type="dxa" w:w="2160"/>
            <w:shd w:val="clear" w:color="auto" w:fill="FFF2CC"/>
          </w:tcPr>
          <w:p>
            <w:r>
              <w:t>Governing Body (minuted)</w:t>
            </w:r>
          </w:p>
        </w:tc>
        <w:tc>
          <w:tcPr>
            <w:tcW w:type="dxa" w:w="2160"/>
            <w:shd w:val="clear" w:color="auto" w:fill="FFF2CC"/>
          </w:tcPr>
          <w:p>
            <w:r>
              <w:t>10-Jan-2026</w:t>
            </w:r>
          </w:p>
        </w:tc>
        <w:tc>
          <w:tcPr>
            <w:tcW w:type="dxa" w:w="2160"/>
            <w:shd w:val="clear" w:color="auto" w:fill="FFF2CC"/>
          </w:tcPr>
          <w:p>
            <w:r>
              <w:t>v1.0 (dated 05-Mar-2023)</w:t>
            </w:r>
          </w:p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so.org/standard/62085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