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ROM.4.a — Management ensures proactive risk management across the organisation.</w:t>
      </w:r>
    </w:p>
    <w:p>
      <w:r>
        <w:t>ROM.4 Record 01 — Risk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Risk: A clear statement of the risk.</w:t>
      </w:r>
    </w:p>
    <w:p>
      <w:pPr>
        <w:pStyle w:val="ListParagraph"/>
      </w:pPr>
      <w:r>
        <w:t>Domain: Clinical, operational, financial or compliance.</w:t>
      </w:r>
    </w:p>
    <w:p>
      <w:pPr>
        <w:pStyle w:val="ListParagraph"/>
      </w:pPr>
      <w:r>
        <w:t>Likelihood / Impact: A simple rating of each.</w:t>
      </w:r>
    </w:p>
    <w:p>
      <w:pPr>
        <w:pStyle w:val="ListParagraph"/>
      </w:pPr>
      <w:r>
        <w:t>Mitigation Action: What is being done to reduce the risk.</w:t>
      </w:r>
    </w:p>
    <w:p>
      <w:pPr>
        <w:pStyle w:val="ListParagraph"/>
      </w:pPr>
      <w:r>
        <w:t>Responsible Person: Who owns this risk.</w:t>
      </w:r>
    </w:p>
    <w:p>
      <w:pPr>
        <w:pStyle w:val="ListParagraph"/>
      </w:pPr>
      <w:r>
        <w:t>Review Date: When this entry is next reviewed.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ROM.4.</w:t>
      </w:r>
    </w:p>
    <w:p>
      <w:pPr>
        <w:pStyle w:val="ListParagraph"/>
      </w:pPr>
      <w:r>
        <w:t xml:space="preserve">International Organization for Standardization. (2018). </w:t>
      </w:r>
      <w:hyperlink r:id="rId10">
        <w:r>
          <w:rPr>
            <w:color w:val="0563C1"/>
            <w:u w:val="single"/>
          </w:rPr>
          <w:t>ISO 31000:2018, Risk management — Guidelines</w:t>
        </w:r>
      </w:hyperlink>
      <w:r>
        <w:t>. External benchmark only; not an NABH mandate.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organisation's single risk register — every identified risk, what's being done about it, who owns it, and when it's next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Department heads escalate risks to the Medical Superintendent, who adds them here. The worked example shows a backup-power risk with a mitigation plan and an owner.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risk register that is never reviewed is not proactive risk management, whatever it's called — NABH checks this record because it's the only way to tell a managed risk from an unmanaged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Domain</w:t>
            </w:r>
          </w:p>
        </w:tc>
        <w:tc>
          <w:tcPr>
            <w:tcW w:type="dxa" w:w="1440"/>
          </w:tcPr>
          <w:p>
            <w:r>
              <w:t>Likelihood / Impact</w:t>
            </w:r>
          </w:p>
        </w:tc>
        <w:tc>
          <w:tcPr>
            <w:tcW w:type="dxa" w:w="1440"/>
          </w:tcPr>
          <w:p>
            <w:r>
              <w:t>Mitigation Action</w:t>
            </w:r>
          </w:p>
        </w:tc>
        <w:tc>
          <w:tcPr>
            <w:tcW w:type="dxa" w:w="1440"/>
          </w:tcPr>
          <w:p>
            <w:r>
              <w:t>Responsible Person</w:t>
            </w:r>
          </w:p>
        </w:tc>
        <w:tc>
          <w:tcPr>
            <w:tcW w:type="dxa" w:w="1440"/>
          </w:tcPr>
          <w:p>
            <w:r>
              <w:t>Review Date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Single point of failure: one generator for backup power</w:t>
            </w:r>
          </w:p>
        </w:tc>
        <w:tc>
          <w:tcPr>
            <w:tcW w:type="dxa" w:w="1440"/>
            <w:shd w:val="clear" w:color="auto" w:fill="FFF2CC"/>
          </w:tcPr>
          <w:p>
            <w:r>
              <w:t>Operational</w:t>
            </w:r>
          </w:p>
        </w:tc>
        <w:tc>
          <w:tcPr>
            <w:tcW w:type="dxa" w:w="1440"/>
            <w:shd w:val="clear" w:color="auto" w:fill="FFF2CC"/>
          </w:tcPr>
          <w:p>
            <w:r>
              <w:t>Medium / High</w:t>
            </w:r>
          </w:p>
        </w:tc>
        <w:tc>
          <w:tcPr>
            <w:tcW w:type="dxa" w:w="1440"/>
            <w:shd w:val="clear" w:color="auto" w:fill="FFF2CC"/>
          </w:tcPr>
          <w:p>
            <w:r>
              <w:t>Annual maintenance contract; second unit budgeted for FY27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In-Charge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Quarterly, next: 15-Apr-2026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so.org/standard/6569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