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 xml:space="preserve">This policy owns imaging services. AAC.6 owns imaging safety (screening, radiation safety, signage). AAC.4 owns laboratory services. PSQ.2 owns quality indicators; imaging TAT and quality-assurance data feed PSQ.2.</w:t>
      </w:r>
    </w:p>
    <w:p>
      <w:pPr>
        <w:spacing w:after="140"/>
      </w:pPr>
      <w:r>
        <w:rPr>
          <w:sz w:val="22"/>
          <w:szCs w:val="22"/>
        </w:rPr>
        <w:t>TAT — turnaround time.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