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 xml:space="preserve">This policy owns laboratory and imaging safety. AAC.4 owns laboratory services (the service process). AAC.5 owns imaging services (the service process). HIC owns hospital-wide infection control; this policy owns specimen safety and radiation safety specific to lab and imaging.</w:t>
      </w:r>
    </w:p>
    <w:p>
      <w:pPr>
        <w:spacing w:after="140"/>
      </w:pPr>
      <w:r>
        <w:rPr>
          <w:sz w:val="22"/>
          <w:szCs w:val="22"/>
        </w:rPr>
        <w:t>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ALARA</w:t>
            </w:r>
          </w:p>
        </w:tc>
        <w:tc>
          <w:tcPr>
            <w:tcW w:type="pct" w:w="22%"/>
            <w:tcBorders>
              <w:top w:val="single" w:color="999999" w:sz="4"/>
              <w:left w:val="single" w:color="999999" w:sz="4"/>
              <w:bottom w:val="single" w:color="999999" w:sz="4"/>
              <w:right w:val="single" w:color="999999" w:sz="4"/>
            </w:tcBorders>
            <w:shd w:fill="E8E8E8" w:val="clear"/>
          </w:tcPr>
          <w:p>
            <w:r>
              <w:rPr>
                <w:b w:val="0"/>
              </w:rPr>
              <w:t>as low as reasonably achievable</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 Management Rules, 2016</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TLD</w:t>
            </w:r>
          </w:p>
        </w:tc>
        <w:tc>
          <w:tcPr>
            <w:tcW w:type="pct" w:w="22%"/>
            <w:tcBorders>
              <w:top w:val="single" w:color="999999" w:sz="4"/>
              <w:left w:val="single" w:color="999999" w:sz="4"/>
              <w:bottom w:val="single" w:color="999999" w:sz="4"/>
              <w:right w:val="single" w:color="999999" w:sz="4"/>
            </w:tcBorders>
            <w:shd w:fill="E8E8E8" w:val="clear"/>
          </w:tcPr>
          <w:p>
            <w:r>
              <w:rPr>
                <w:b w:val="0"/>
              </w:rPr>
              <w:t>thermoluminescent dosimeter</w:t>
            </w:r>
          </w:p>
        </w:tc>
      </w:tr>
    </w:tbl>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