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Emergency Services, Ambulance and Disaster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spacing w:after="140"/>
      </w:pPr>
      <w:r>
        <w:rPr>
          <w:sz w:val="22"/>
          <w:szCs w:val="22"/>
        </w:rPr>
        <w:t xml:space="preserve">This policy owns emergency clinical care, triage and ambulance. AAC.2 owns the registration, admission, transfer and discharge process. FMS.5 owns fire and non-fire facility emergencies. COP.3 owns CPR.</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spacing w:after="140"/>
      </w:pPr>
      <w:r>
        <w:rPr>
          <w:sz w:val="22"/>
          <w:szCs w:val="22"/>
        </w:rPr>
        <w:t xml:space="preserve">It covers the eleven elements COP.2.a–k name. It does not cover fire or non-fire facility emergencies (FMS.5), the registration or transfer process (AAC.2), or CPR (COP.3).</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 xml:space="preserve">Resources include: «at least one emergency doctor and one emergency nurse on duty at all times»; resuscitation equipment and crash cart (COP.3 owns CPR);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 xml:space="preserve">AAC.2 owns the transfer process. 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 xml:space="preserve">FMS.5 owns fire and non-fire facility emergencies. 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DMA</w:t>
            </w:r>
          </w:p>
        </w:tc>
        <w:tc>
          <w:tcPr>
            <w:tcW w:type="pct" w:w="22%"/>
            <w:tcBorders>
              <w:top w:val="single" w:color="999999" w:sz="4"/>
              <w:left w:val="single" w:color="999999" w:sz="4"/>
              <w:bottom w:val="single" w:color="999999" w:sz="4"/>
              <w:right w:val="single" w:color="999999" w:sz="4"/>
            </w:tcBorders>
            <w:shd w:fill="E8E8E8" w:val="clear"/>
          </w:tcPr>
          <w:p>
            <w:r>
              <w:rPr>
                <w:b w:val="0"/>
              </w:rPr>
              <w:t>Disaster Management Act, 2005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COP.2.</w:t>
      </w:r>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«COP/POL/02»  |  Controlled document  |  Policy on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