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Paediatric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 xml:space="preserve">Patient assessment for paediatric patients includes nutritional screening, growth charting, developmental milestones and immunisation status. AAC.3 owns initial assessment; this step owns the paediatric-specific components.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Root-cause analysis is required when a paediatric safety event recurs; the organisation's defined recurrence threshold applies, as documented in the hospital's Root Cause Analysis procedure.</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IAP</w:t>
            </w:r>
          </w:p>
        </w:tc>
        <w:tc>
          <w:tcPr>
            <w:tcW w:type="pct" w:w="22%"/>
            <w:tcBorders>
              <w:top w:val="single" w:color="999999" w:sz="4"/>
              <w:left w:val="single" w:color="999999" w:sz="4"/>
              <w:bottom w:val="single" w:color="999999" w:sz="4"/>
              <w:right w:val="single" w:color="999999" w:sz="4"/>
            </w:tcBorders>
            <w:shd w:fill="E8E8E8" w:val="clear"/>
          </w:tcPr>
          <w:p>
            <w:r>
              <w:rPr>
                <w:b w:val="0"/>
              </w:rPr>
              <w:t>Indian Academy of Pediatrics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NNF</w:t>
            </w:r>
          </w:p>
        </w:tc>
        <w:tc>
          <w:tcPr>
            <w:tcW w:type="pct" w:w="22%"/>
            <w:tcBorders>
              <w:top w:val="single" w:color="999999" w:sz="4"/>
              <w:left w:val="single" w:color="999999" w:sz="4"/>
              <w:bottom w:val="single" w:color="999999" w:sz="4"/>
              <w:right w:val="single" w:color="999999" w:sz="4"/>
            </w:tcBorders>
            <w:shd w:fill="E8E8E8" w:val="clear"/>
          </w:tcPr>
          <w:p>
            <w:r>
              <w:rPr>
                <w:b w:val="0"/>
              </w:rPr>
              <w:t>National Neonatology Forum</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COP.8</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COP.8.</w:t>
      </w:r>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«COP/POL/08»  |  Controlled document  |  Policy on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